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4DBF" w14:textId="78B8F4F2" w:rsidR="00E24AA1" w:rsidRDefault="00B44CE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r w:rsidR="007B4AEC">
        <w:t>–2024</w:t>
      </w:r>
    </w:p>
    <w:p w14:paraId="5A0D7153" w14:textId="77777777" w:rsidR="00E24AA1" w:rsidRDefault="00E24AA1" w:rsidP="00E24AA1">
      <w:pPr>
        <w:pStyle w:val="Baseparagraphcentred"/>
      </w:pPr>
    </w:p>
    <w:p w14:paraId="50C16E4B" w14:textId="77777777" w:rsidR="00E24AA1" w:rsidRDefault="00E24AA1" w:rsidP="00E24AA1">
      <w:pPr>
        <w:pStyle w:val="Baseparagraphcentred"/>
      </w:pPr>
      <w:r>
        <w:t>THE PARLIAMENT OF THE COMMONWEALTH OF AUSTRALIA</w:t>
      </w:r>
    </w:p>
    <w:p w14:paraId="27B117BA" w14:textId="77777777" w:rsidR="00E24AA1" w:rsidRDefault="00E24AA1" w:rsidP="00E24AA1">
      <w:pPr>
        <w:pStyle w:val="Baseparagraphcentred"/>
      </w:pPr>
    </w:p>
    <w:p w14:paraId="4FE8044D" w14:textId="77777777" w:rsidR="00E24AA1" w:rsidRDefault="00E24AA1" w:rsidP="00E24AA1">
      <w:pPr>
        <w:pStyle w:val="Baseparagraphcentred"/>
      </w:pPr>
    </w:p>
    <w:p w14:paraId="12F9CDA0" w14:textId="77777777" w:rsidR="00E24AA1" w:rsidRDefault="00E24AA1" w:rsidP="00E24AA1">
      <w:pPr>
        <w:pStyle w:val="Baseparagraphcentred"/>
      </w:pPr>
    </w:p>
    <w:p w14:paraId="145229D3" w14:textId="314EDE82" w:rsidR="000A4EB2" w:rsidRDefault="00D4001B" w:rsidP="000A4EB2">
      <w:pPr>
        <w:pStyle w:val="Baseparagraphcentred"/>
      </w:pPr>
      <w:r>
        <w:t>EXPOSURE DRAFT EXPLANATORY MATERIALS</w:t>
      </w:r>
    </w:p>
    <w:p w14:paraId="2F1B4E0F" w14:textId="77777777" w:rsidR="00E24AA1" w:rsidRDefault="00E24AA1" w:rsidP="00E24AA1">
      <w:pPr>
        <w:pStyle w:val="Baseparagraphcentred"/>
      </w:pPr>
    </w:p>
    <w:p w14:paraId="458E5716" w14:textId="77777777" w:rsidR="00E24AA1" w:rsidRDefault="00E24AA1" w:rsidP="00E24AA1">
      <w:pPr>
        <w:pStyle w:val="Baseparagraphcentred"/>
      </w:pPr>
    </w:p>
    <w:p w14:paraId="00AFC555" w14:textId="77777777" w:rsidR="00E24AA1" w:rsidRPr="000853BB" w:rsidRDefault="00E24AA1" w:rsidP="00E24AA1">
      <w:pPr>
        <w:pStyle w:val="Baseparagraphcentred"/>
        <w:pBdr>
          <w:bottom w:val="single" w:sz="4" w:space="1" w:color="auto"/>
        </w:pBdr>
      </w:pPr>
    </w:p>
    <w:p w14:paraId="50647415" w14:textId="084CE110" w:rsidR="00891517" w:rsidRDefault="000853BB" w:rsidP="00891517">
      <w:pPr>
        <w:pStyle w:val="BillName"/>
      </w:pPr>
      <w:bookmarkStart w:id="6" w:name="BillName"/>
      <w:bookmarkEnd w:id="6"/>
      <w:r w:rsidRPr="00F75FA8">
        <w:t xml:space="preserve">Taxation (Multinational—Global and Domestic Minimum Tax) </w:t>
      </w:r>
      <w:r w:rsidR="00EB61EC">
        <w:t xml:space="preserve">Imposition </w:t>
      </w:r>
      <w:r w:rsidRPr="00F75FA8">
        <w:t>Bill 2024</w:t>
      </w:r>
    </w:p>
    <w:p w14:paraId="63D9E4E7" w14:textId="77777777" w:rsidR="00EB61EC" w:rsidRPr="000853BB" w:rsidRDefault="00EB61EC" w:rsidP="00EB61EC">
      <w:pPr>
        <w:pStyle w:val="BillName"/>
      </w:pPr>
      <w:r w:rsidRPr="00F75FA8">
        <w:t>Taxation (Multinational—Global and Domestic Minimum Tax) Bill 2024</w:t>
      </w:r>
    </w:p>
    <w:p w14:paraId="29D43155" w14:textId="0FC9CA5C" w:rsidR="00EB61EC" w:rsidRPr="00EB61EC" w:rsidRDefault="00EB61EC" w:rsidP="00224137">
      <w:pPr>
        <w:pStyle w:val="BillName"/>
      </w:pPr>
      <w:r w:rsidRPr="00F75FA8">
        <w:t xml:space="preserve">Taxation (Multinational—Global and Domestic Minimum Tax) </w:t>
      </w:r>
      <w:r w:rsidR="00523983">
        <w:t xml:space="preserve">Consequential </w:t>
      </w:r>
      <w:r w:rsidRPr="00F75FA8">
        <w:t>Bill 2024</w:t>
      </w:r>
    </w:p>
    <w:p w14:paraId="019C068F" w14:textId="77777777" w:rsidR="00E24AA1" w:rsidRDefault="00E24AA1" w:rsidP="00E24AA1">
      <w:pPr>
        <w:pStyle w:val="Baseparagraphcentred"/>
        <w:pBdr>
          <w:top w:val="single" w:sz="4" w:space="1" w:color="auto"/>
        </w:pBdr>
      </w:pPr>
    </w:p>
    <w:p w14:paraId="59B43F8A" w14:textId="77777777" w:rsidR="00E24AA1" w:rsidRDefault="00E24AA1" w:rsidP="00E24AA1">
      <w:pPr>
        <w:pStyle w:val="Baseparagraphcentred"/>
      </w:pPr>
    </w:p>
    <w:p w14:paraId="72F675AF" w14:textId="77777777" w:rsidR="00E24AA1" w:rsidRDefault="00E24AA1" w:rsidP="00E24AA1">
      <w:pPr>
        <w:pStyle w:val="Baseparagraphcentred"/>
      </w:pPr>
    </w:p>
    <w:p w14:paraId="740DBD19" w14:textId="77777777" w:rsidR="00E24AA1" w:rsidRDefault="00E24AA1" w:rsidP="00E24AA1">
      <w:pPr>
        <w:pStyle w:val="Baseparagraphcentred"/>
      </w:pPr>
    </w:p>
    <w:p w14:paraId="56B72C1D" w14:textId="77777777" w:rsidR="000A293E" w:rsidRDefault="000A293E" w:rsidP="00E24AA1">
      <w:pPr>
        <w:pStyle w:val="Baseparagraphcentred"/>
      </w:pPr>
      <w:r>
        <w:t>EXPOSURE DRAFT EXPLANATORY MATERIALS</w:t>
      </w:r>
    </w:p>
    <w:p w14:paraId="2F86B08C" w14:textId="77777777" w:rsidR="00E24AA1" w:rsidRDefault="00E24AA1" w:rsidP="00E24AA1">
      <w:pPr>
        <w:pStyle w:val="Baseparagraphcentred"/>
      </w:pPr>
    </w:p>
    <w:p w14:paraId="5D2FC36C" w14:textId="77777777" w:rsidR="00E24AA1" w:rsidRDefault="00E24AA1" w:rsidP="00E24AA1">
      <w:pPr>
        <w:pStyle w:val="Baseparagraphcentred"/>
      </w:pPr>
    </w:p>
    <w:p w14:paraId="0C68FAE7" w14:textId="77777777" w:rsidR="00E24AA1" w:rsidRDefault="00E24AA1" w:rsidP="00E24AA1">
      <w:pPr>
        <w:pStyle w:val="ParaCentredNoSpacing"/>
      </w:pPr>
    </w:p>
    <w:p w14:paraId="326E1C47" w14:textId="77777777" w:rsidR="00E24AA1" w:rsidRPr="00967273" w:rsidRDefault="00E24AA1" w:rsidP="00E24AA1">
      <w:pPr>
        <w:pStyle w:val="Normalparatextnonumbers"/>
        <w:jc w:val="center"/>
        <w:rPr>
          <w:rFonts w:cs="Calibri"/>
          <w:color w:val="000000" w:themeColor="text1"/>
        </w:rPr>
      </w:pPr>
    </w:p>
    <w:p w14:paraId="33A99C90" w14:textId="77777777" w:rsidR="008A3B5F" w:rsidRPr="00020288" w:rsidRDefault="008A3B5F" w:rsidP="008A3B5F">
      <w:pPr>
        <w:pStyle w:val="Normalparatextnonumbers"/>
      </w:pPr>
    </w:p>
    <w:p w14:paraId="00428CDA" w14:textId="28D76BBE" w:rsidR="000A293E" w:rsidRPr="0090171F" w:rsidRDefault="000A293E" w:rsidP="000A293E">
      <w:pPr>
        <w:pStyle w:val="Normalparatextnonumbers"/>
        <w:numPr>
          <w:ilvl w:val="4"/>
          <w:numId w:val="2"/>
        </w:numPr>
        <w:rPr>
          <w:b/>
        </w:rPr>
      </w:pPr>
      <w:bookmarkStart w:id="7" w:name="ConsultPreamble"/>
      <w:bookmarkEnd w:id="7"/>
      <w:r w:rsidRPr="0090171F">
        <w:rPr>
          <w:b/>
        </w:rPr>
        <w:lastRenderedPageBreak/>
        <w:t>Consultation preamble</w:t>
      </w:r>
    </w:p>
    <w:p w14:paraId="14223F3F" w14:textId="0C46D2C9" w:rsidR="000A293E" w:rsidRPr="0090171F" w:rsidRDefault="000A293E" w:rsidP="0090171F">
      <w:pPr>
        <w:pStyle w:val="Normalparatextnonumbers"/>
      </w:pPr>
      <w:r w:rsidRPr="0090171F">
        <w:t>Treasury seeks feedback on this exposure draft explanatory material in explaining the policy context and operation of the proposed new law</w:t>
      </w:r>
      <w:r w:rsidR="00F15CE3">
        <w:t xml:space="preserve">. </w:t>
      </w:r>
      <w:r w:rsidR="00454780">
        <w:t>Without intending</w:t>
      </w:r>
      <w:r w:rsidRPr="0090171F">
        <w:t xml:space="preserve"> to</w:t>
      </w:r>
      <w:r w:rsidR="00454780">
        <w:t xml:space="preserve"> limit feedback</w:t>
      </w:r>
      <w:r w:rsidRPr="0090171F">
        <w:t xml:space="preserve">, </w:t>
      </w:r>
      <w:r w:rsidR="00F15CE3">
        <w:t>stakeholder views are sought on particular provisions, which are noted at the following paragraphs</w:t>
      </w:r>
      <w:r w:rsidRPr="0090171F">
        <w:t>:</w:t>
      </w:r>
    </w:p>
    <w:p w14:paraId="02A8A717" w14:textId="6EE2BEAC" w:rsidR="00B03942" w:rsidRDefault="00EB36B7" w:rsidP="00EB36B7">
      <w:pPr>
        <w:pStyle w:val="Dotpoint1"/>
      </w:pPr>
      <w:r>
        <w:t xml:space="preserve">paragraph </w:t>
      </w:r>
      <w:r w:rsidR="00F24FBF">
        <w:fldChar w:fldCharType="begin"/>
      </w:r>
      <w:r w:rsidR="00F24FBF">
        <w:instrText xml:space="preserve"> REF _Ref159833492 \r \h </w:instrText>
      </w:r>
      <w:r w:rsidR="00F24FBF">
        <w:fldChar w:fldCharType="separate"/>
      </w:r>
      <w:r w:rsidR="00C94A6E">
        <w:t>3.33</w:t>
      </w:r>
      <w:r w:rsidR="00F24FBF">
        <w:fldChar w:fldCharType="end"/>
      </w:r>
      <w:r>
        <w:t xml:space="preserve"> </w:t>
      </w:r>
      <w:r w:rsidR="00606D72">
        <w:t>–</w:t>
      </w:r>
      <w:r>
        <w:t xml:space="preserve"> </w:t>
      </w:r>
      <w:r w:rsidR="00606D72">
        <w:t>regarding delayed exchange of the GloBE Information Return</w:t>
      </w:r>
      <w:r w:rsidR="00B03942">
        <w:t xml:space="preserve"> between jurisdictions</w:t>
      </w:r>
    </w:p>
    <w:p w14:paraId="12D3D59A" w14:textId="71A950C9" w:rsidR="003B0527" w:rsidRDefault="00B03942" w:rsidP="00EB36B7">
      <w:pPr>
        <w:pStyle w:val="Dotpoint1"/>
      </w:pPr>
      <w:r>
        <w:t xml:space="preserve">paragraph </w:t>
      </w:r>
      <w:r w:rsidR="00F24FBF">
        <w:fldChar w:fldCharType="begin"/>
      </w:r>
      <w:r w:rsidR="00F24FBF">
        <w:instrText xml:space="preserve"> REF _Ref159833502 \r \h </w:instrText>
      </w:r>
      <w:r w:rsidR="00F24FBF">
        <w:fldChar w:fldCharType="separate"/>
      </w:r>
      <w:r w:rsidR="00C94A6E">
        <w:t>3.41</w:t>
      </w:r>
      <w:r w:rsidR="00F24FBF">
        <w:fldChar w:fldCharType="end"/>
      </w:r>
      <w:r>
        <w:t xml:space="preserve"> – regarding the lodg</w:t>
      </w:r>
      <w:r w:rsidR="009D13EB">
        <w:t>e</w:t>
      </w:r>
      <w:r>
        <w:t>ment of DMT Returns</w:t>
      </w:r>
    </w:p>
    <w:p w14:paraId="7DEB867D" w14:textId="4CE6A036" w:rsidR="000C133A" w:rsidRDefault="000C133A" w:rsidP="000C133A">
      <w:pPr>
        <w:pStyle w:val="Dotpoint1"/>
      </w:pPr>
      <w:r>
        <w:t xml:space="preserve">paragraph </w:t>
      </w:r>
      <w:r w:rsidR="00F24FBF">
        <w:fldChar w:fldCharType="begin"/>
      </w:r>
      <w:r w:rsidR="00F24FBF">
        <w:instrText xml:space="preserve"> REF _Ref159833515 \r \h </w:instrText>
      </w:r>
      <w:r w:rsidR="00F24FBF">
        <w:fldChar w:fldCharType="separate"/>
      </w:r>
      <w:r w:rsidR="00C94A6E">
        <w:t>3.68</w:t>
      </w:r>
      <w:r w:rsidR="00F24FBF">
        <w:fldChar w:fldCharType="end"/>
      </w:r>
      <w:r>
        <w:t xml:space="preserve"> – regarding timing issues for franking credits</w:t>
      </w:r>
    </w:p>
    <w:p w14:paraId="5CEF105A" w14:textId="13E71957" w:rsidR="001D4A7B" w:rsidRDefault="003B0527" w:rsidP="00EB36B7">
      <w:pPr>
        <w:pStyle w:val="Dotpoint1"/>
      </w:pPr>
      <w:r>
        <w:t xml:space="preserve">paragraph </w:t>
      </w:r>
      <w:r w:rsidR="00F24FBF">
        <w:fldChar w:fldCharType="begin"/>
      </w:r>
      <w:r w:rsidR="00F24FBF">
        <w:instrText xml:space="preserve"> REF _Ref159833526 \r \h </w:instrText>
      </w:r>
      <w:r w:rsidR="00F24FBF">
        <w:fldChar w:fldCharType="separate"/>
      </w:r>
      <w:r w:rsidR="00C94A6E">
        <w:t>3.75</w:t>
      </w:r>
      <w:r w:rsidR="00F24FBF">
        <w:fldChar w:fldCharType="end"/>
      </w:r>
      <w:r>
        <w:t xml:space="preserve"> – regarding interactions with other laws</w:t>
      </w:r>
      <w:r w:rsidR="00EC1A4C">
        <w:t xml:space="preserve">, including the Australian foreign hybrid </w:t>
      </w:r>
      <w:r w:rsidR="006422D5">
        <w:t xml:space="preserve">mismatch </w:t>
      </w:r>
      <w:r w:rsidR="00EC1A4C">
        <w:t>rules, controlled foreign company regime and foreign income tax offsets.</w:t>
      </w:r>
      <w:r w:rsidR="001D4A7B">
        <w:t xml:space="preserve"> </w:t>
      </w:r>
    </w:p>
    <w:p w14:paraId="0CC48138" w14:textId="574032F3" w:rsidR="000A293E" w:rsidRPr="0090171F" w:rsidRDefault="000A293E" w:rsidP="0090171F">
      <w:pPr>
        <w:pStyle w:val="Normalparatextnonumbers"/>
      </w:pPr>
      <w:r w:rsidRPr="0027427B">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on this question will be shared with the ATO.</w:t>
      </w:r>
    </w:p>
    <w:p w14:paraId="3DECEB1A" w14:textId="77777777" w:rsidR="00924E28" w:rsidRPr="00020288" w:rsidRDefault="00924E28" w:rsidP="00873094">
      <w:pPr>
        <w:pStyle w:val="Normalparatextnonumbers"/>
      </w:pPr>
    </w:p>
    <w:p w14:paraId="45041166" w14:textId="77777777" w:rsidR="00873094" w:rsidRPr="00020288" w:rsidRDefault="00873094" w:rsidP="00873094">
      <w:pPr>
        <w:pStyle w:val="TOC1"/>
        <w:sectPr w:rsidR="00873094" w:rsidRPr="00020288" w:rsidSect="007A772D">
          <w:headerReference w:type="first" r:id="rId12"/>
          <w:footerReference w:type="first" r:id="rId13"/>
          <w:type w:val="oddPage"/>
          <w:pgSz w:w="9978" w:h="14173" w:code="34"/>
          <w:pgMar w:top="567" w:right="1134" w:bottom="567" w:left="1134" w:header="709" w:footer="709" w:gutter="0"/>
          <w:cols w:space="708"/>
          <w:titlePg/>
          <w:docGrid w:linePitch="360"/>
        </w:sectPr>
      </w:pPr>
    </w:p>
    <w:p w14:paraId="481C3E6F"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69BE6753" w14:textId="7442FDC6" w:rsidR="00FD438A" w:rsidRDefault="00873094">
      <w:pPr>
        <w:pStyle w:val="TOC1"/>
        <w:rPr>
          <w:rFonts w:asciiTheme="minorHAnsi" w:eastAsiaTheme="minorEastAsia" w:hAnsiTheme="minorHAnsi" w:cstheme="minorBidi"/>
          <w:bCs w:val="0"/>
          <w:noProof/>
          <w:kern w:val="2"/>
          <w:sz w:val="22"/>
          <w:szCs w:val="22"/>
          <w:lang w:eastAsia="en-AU"/>
          <w14:ligatures w14:val="standardContextual"/>
        </w:rPr>
      </w:pPr>
      <w:r w:rsidRPr="00BC2E4A">
        <w:fldChar w:fldCharType="begin"/>
      </w:r>
      <w:r w:rsidRPr="00BC2E4A">
        <w:instrText xml:space="preserve"> TOC \o "1-1" \u </w:instrText>
      </w:r>
      <w:r w:rsidRPr="00BC2E4A">
        <w:fldChar w:fldCharType="separate"/>
      </w:r>
      <w:r w:rsidR="00FD438A">
        <w:rPr>
          <w:noProof/>
        </w:rPr>
        <w:t>Glossary</w:t>
      </w:r>
      <w:r w:rsidR="00FD438A">
        <w:rPr>
          <w:noProof/>
        </w:rPr>
        <w:tab/>
      </w:r>
      <w:r w:rsidR="006D485A">
        <w:rPr>
          <w:noProof/>
        </w:rPr>
        <w:tab/>
      </w:r>
      <w:r w:rsidR="00FD438A">
        <w:rPr>
          <w:noProof/>
        </w:rPr>
        <w:fldChar w:fldCharType="begin"/>
      </w:r>
      <w:r w:rsidR="00FD438A">
        <w:rPr>
          <w:noProof/>
        </w:rPr>
        <w:instrText xml:space="preserve"> PAGEREF _Toc160721063 \h </w:instrText>
      </w:r>
      <w:r w:rsidR="00FD438A">
        <w:rPr>
          <w:noProof/>
        </w:rPr>
      </w:r>
      <w:r w:rsidR="00FD438A">
        <w:rPr>
          <w:noProof/>
        </w:rPr>
        <w:fldChar w:fldCharType="separate"/>
      </w:r>
      <w:r w:rsidR="00C94A6E">
        <w:rPr>
          <w:noProof/>
        </w:rPr>
        <w:t>1</w:t>
      </w:r>
      <w:r w:rsidR="00FD438A">
        <w:rPr>
          <w:noProof/>
        </w:rPr>
        <w:fldChar w:fldCharType="end"/>
      </w:r>
    </w:p>
    <w:p w14:paraId="488ECBFF" w14:textId="4CD5A99E" w:rsidR="00FD438A" w:rsidRDefault="00FD438A">
      <w:pPr>
        <w:pStyle w:val="TOC1"/>
        <w:rPr>
          <w:rFonts w:asciiTheme="minorHAnsi" w:eastAsiaTheme="minorEastAsia" w:hAnsiTheme="minorHAnsi" w:cstheme="minorBidi"/>
          <w:bCs w:val="0"/>
          <w:noProof/>
          <w:kern w:val="2"/>
          <w:sz w:val="22"/>
          <w:szCs w:val="22"/>
          <w:lang w:eastAsia="en-AU"/>
          <w14:ligatures w14:val="standardContextual"/>
        </w:rPr>
      </w:pPr>
      <w:r>
        <w:rPr>
          <w:noProof/>
        </w:rPr>
        <w:t>Overview and context for Two</w:t>
      </w:r>
      <w:r>
        <w:rPr>
          <w:noProof/>
        </w:rPr>
        <w:noBreakHyphen/>
        <w:t>Pillar Solution in Australia</w:t>
      </w:r>
      <w:r>
        <w:rPr>
          <w:noProof/>
        </w:rPr>
        <w:tab/>
      </w:r>
      <w:r>
        <w:rPr>
          <w:noProof/>
        </w:rPr>
        <w:fldChar w:fldCharType="begin"/>
      </w:r>
      <w:r>
        <w:rPr>
          <w:noProof/>
        </w:rPr>
        <w:instrText xml:space="preserve"> PAGEREF _Toc160721064 \h </w:instrText>
      </w:r>
      <w:r>
        <w:rPr>
          <w:noProof/>
        </w:rPr>
      </w:r>
      <w:r>
        <w:rPr>
          <w:noProof/>
        </w:rPr>
        <w:fldChar w:fldCharType="separate"/>
      </w:r>
      <w:r w:rsidR="00C94A6E">
        <w:rPr>
          <w:noProof/>
        </w:rPr>
        <w:t>5</w:t>
      </w:r>
      <w:r>
        <w:rPr>
          <w:noProof/>
        </w:rPr>
        <w:fldChar w:fldCharType="end"/>
      </w:r>
    </w:p>
    <w:p w14:paraId="2934BE3E" w14:textId="0EEB2F4E" w:rsidR="00FD438A" w:rsidRDefault="00FD438A">
      <w:pPr>
        <w:pStyle w:val="TOC1"/>
        <w:rPr>
          <w:rFonts w:asciiTheme="minorHAnsi" w:eastAsiaTheme="minorEastAsia" w:hAnsiTheme="minorHAnsi" w:cstheme="minorBidi"/>
          <w:bCs w:val="0"/>
          <w:noProof/>
          <w:kern w:val="2"/>
          <w:sz w:val="22"/>
          <w:szCs w:val="22"/>
          <w:lang w:eastAsia="en-AU"/>
          <w14:ligatures w14:val="standardContextual"/>
        </w:rPr>
      </w:pPr>
      <w:r w:rsidRPr="00B304E4">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kern w:val="2"/>
          <w:sz w:val="22"/>
          <w:szCs w:val="22"/>
          <w:lang w:eastAsia="en-AU"/>
          <w14:ligatures w14:val="standardContextual"/>
        </w:rPr>
        <w:tab/>
      </w:r>
      <w:r>
        <w:rPr>
          <w:noProof/>
        </w:rPr>
        <w:t>Taxation (Multinational—Global and Domestic Minimum Tax) Imposition Bill 2024</w:t>
      </w:r>
      <w:r>
        <w:rPr>
          <w:noProof/>
        </w:rPr>
        <w:tab/>
      </w:r>
      <w:r>
        <w:rPr>
          <w:noProof/>
        </w:rPr>
        <w:fldChar w:fldCharType="begin"/>
      </w:r>
      <w:r>
        <w:rPr>
          <w:noProof/>
        </w:rPr>
        <w:instrText xml:space="preserve"> PAGEREF _Toc160721065 \h </w:instrText>
      </w:r>
      <w:r>
        <w:rPr>
          <w:noProof/>
        </w:rPr>
      </w:r>
      <w:r>
        <w:rPr>
          <w:noProof/>
        </w:rPr>
        <w:fldChar w:fldCharType="separate"/>
      </w:r>
      <w:r w:rsidR="00C94A6E">
        <w:rPr>
          <w:noProof/>
        </w:rPr>
        <w:t>7</w:t>
      </w:r>
      <w:r>
        <w:rPr>
          <w:noProof/>
        </w:rPr>
        <w:fldChar w:fldCharType="end"/>
      </w:r>
    </w:p>
    <w:p w14:paraId="67732ABC" w14:textId="7CD826ED" w:rsidR="00FD438A" w:rsidRDefault="00FD438A">
      <w:pPr>
        <w:pStyle w:val="TOC1"/>
        <w:rPr>
          <w:rFonts w:asciiTheme="minorHAnsi" w:eastAsiaTheme="minorEastAsia" w:hAnsiTheme="minorHAnsi" w:cstheme="minorBidi"/>
          <w:bCs w:val="0"/>
          <w:noProof/>
          <w:kern w:val="2"/>
          <w:sz w:val="22"/>
          <w:szCs w:val="22"/>
          <w:lang w:eastAsia="en-AU"/>
          <w14:ligatures w14:val="standardContextual"/>
        </w:rPr>
      </w:pPr>
      <w:r w:rsidRPr="00B304E4">
        <w:rPr>
          <w:noProof/>
          <w14:scene3d>
            <w14:camera w14:prst="orthographicFront"/>
            <w14:lightRig w14:rig="threePt" w14:dir="t">
              <w14:rot w14:lat="0" w14:lon="0" w14:rev="0"/>
            </w14:lightRig>
          </w14:scene3d>
        </w:rPr>
        <w:t>Chapter 2:</w:t>
      </w:r>
      <w:r>
        <w:rPr>
          <w:rFonts w:asciiTheme="minorHAnsi" w:eastAsiaTheme="minorEastAsia" w:hAnsiTheme="minorHAnsi" w:cstheme="minorBidi"/>
          <w:bCs w:val="0"/>
          <w:noProof/>
          <w:kern w:val="2"/>
          <w:sz w:val="22"/>
          <w:szCs w:val="22"/>
          <w:lang w:eastAsia="en-AU"/>
          <w14:ligatures w14:val="standardContextual"/>
        </w:rPr>
        <w:tab/>
      </w:r>
      <w:r>
        <w:rPr>
          <w:noProof/>
        </w:rPr>
        <w:t>Taxation (Multinational—Global and Domestic Minimum Tax) Bill 2024</w:t>
      </w:r>
      <w:r>
        <w:rPr>
          <w:noProof/>
        </w:rPr>
        <w:tab/>
      </w:r>
      <w:r>
        <w:rPr>
          <w:noProof/>
        </w:rPr>
        <w:fldChar w:fldCharType="begin"/>
      </w:r>
      <w:r>
        <w:rPr>
          <w:noProof/>
        </w:rPr>
        <w:instrText xml:space="preserve"> PAGEREF _Toc160721066 \h </w:instrText>
      </w:r>
      <w:r>
        <w:rPr>
          <w:noProof/>
        </w:rPr>
      </w:r>
      <w:r>
        <w:rPr>
          <w:noProof/>
        </w:rPr>
        <w:fldChar w:fldCharType="separate"/>
      </w:r>
      <w:r w:rsidR="00C94A6E">
        <w:rPr>
          <w:noProof/>
        </w:rPr>
        <w:t>9</w:t>
      </w:r>
      <w:r>
        <w:rPr>
          <w:noProof/>
        </w:rPr>
        <w:fldChar w:fldCharType="end"/>
      </w:r>
    </w:p>
    <w:p w14:paraId="483B62CF" w14:textId="23CC1D72" w:rsidR="00FD438A" w:rsidRDefault="00FD438A">
      <w:pPr>
        <w:pStyle w:val="TOC1"/>
        <w:rPr>
          <w:rFonts w:asciiTheme="minorHAnsi" w:eastAsiaTheme="minorEastAsia" w:hAnsiTheme="minorHAnsi" w:cstheme="minorBidi"/>
          <w:bCs w:val="0"/>
          <w:noProof/>
          <w:kern w:val="2"/>
          <w:sz w:val="22"/>
          <w:szCs w:val="22"/>
          <w:lang w:eastAsia="en-AU"/>
          <w14:ligatures w14:val="standardContextual"/>
        </w:rPr>
      </w:pPr>
      <w:r>
        <w:rPr>
          <w:noProof/>
        </w:rPr>
        <w:t xml:space="preserve">Chapter 3: </w:t>
      </w:r>
      <w:r w:rsidR="006D485A">
        <w:rPr>
          <w:noProof/>
        </w:rPr>
        <w:tab/>
      </w:r>
      <w:r>
        <w:rPr>
          <w:noProof/>
        </w:rPr>
        <w:t>Taxation (Multinational—Global and Domestic Minimum Tax) Consequential Bill 2024</w:t>
      </w:r>
      <w:r>
        <w:rPr>
          <w:noProof/>
        </w:rPr>
        <w:tab/>
      </w:r>
      <w:r>
        <w:rPr>
          <w:noProof/>
        </w:rPr>
        <w:fldChar w:fldCharType="begin"/>
      </w:r>
      <w:r>
        <w:rPr>
          <w:noProof/>
        </w:rPr>
        <w:instrText xml:space="preserve"> PAGEREF _Toc160721067 \h </w:instrText>
      </w:r>
      <w:r>
        <w:rPr>
          <w:noProof/>
        </w:rPr>
      </w:r>
      <w:r>
        <w:rPr>
          <w:noProof/>
        </w:rPr>
        <w:fldChar w:fldCharType="separate"/>
      </w:r>
      <w:r w:rsidR="00C94A6E">
        <w:rPr>
          <w:noProof/>
        </w:rPr>
        <w:t>27</w:t>
      </w:r>
      <w:r>
        <w:rPr>
          <w:noProof/>
        </w:rPr>
        <w:fldChar w:fldCharType="end"/>
      </w:r>
    </w:p>
    <w:p w14:paraId="2F9CC15D" w14:textId="294A8A59" w:rsidR="00873094" w:rsidRPr="00020288" w:rsidRDefault="00873094" w:rsidP="00BC2E4A">
      <w:pPr>
        <w:pStyle w:val="TOC1"/>
      </w:pPr>
      <w:r w:rsidRPr="00BC2E4A">
        <w:fldChar w:fldCharType="end"/>
      </w:r>
    </w:p>
    <w:p w14:paraId="41029A97" w14:textId="77777777" w:rsidR="00873094" w:rsidRPr="00020288" w:rsidRDefault="00873094" w:rsidP="00873094"/>
    <w:p w14:paraId="1BF16DBF"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180BF887" w14:textId="77777777" w:rsidR="00873094" w:rsidRPr="00020288"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60721063"/>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1E4A191A"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EE006C" w:rsidRPr="002E7A73" w14:paraId="1C08B16D" w14:textId="77777777">
        <w:tc>
          <w:tcPr>
            <w:tcW w:w="3776" w:type="dxa"/>
            <w:shd w:val="clear" w:color="auto" w:fill="auto"/>
          </w:tcPr>
          <w:p w14:paraId="519C330E" w14:textId="77777777" w:rsidR="00EE006C" w:rsidRPr="002E7A73" w:rsidRDefault="00EE006C" w:rsidP="00EE006C">
            <w:pPr>
              <w:pStyle w:val="Tableheaderrowtext"/>
              <w:numPr>
                <w:ilvl w:val="3"/>
                <w:numId w:val="2"/>
              </w:numPr>
            </w:pPr>
            <w:r w:rsidRPr="002E7A73">
              <w:t>Abbreviation</w:t>
            </w:r>
          </w:p>
        </w:tc>
        <w:tc>
          <w:tcPr>
            <w:tcW w:w="3874" w:type="dxa"/>
            <w:shd w:val="clear" w:color="auto" w:fill="auto"/>
          </w:tcPr>
          <w:p w14:paraId="705F889C" w14:textId="77777777" w:rsidR="00EE006C" w:rsidRPr="002E7A73" w:rsidRDefault="00EE006C" w:rsidP="00EE006C">
            <w:pPr>
              <w:pStyle w:val="Tableheaderrowtext"/>
              <w:numPr>
                <w:ilvl w:val="3"/>
                <w:numId w:val="2"/>
              </w:numPr>
            </w:pPr>
            <w:r w:rsidRPr="002E7A73">
              <w:t>Definition</w:t>
            </w:r>
          </w:p>
        </w:tc>
      </w:tr>
      <w:tr w:rsidR="00EE006C" w:rsidRPr="00020288" w14:paraId="2426EC4B" w14:textId="77777777">
        <w:tc>
          <w:tcPr>
            <w:tcW w:w="3776" w:type="dxa"/>
          </w:tcPr>
          <w:p w14:paraId="148B53AE" w14:textId="77777777" w:rsidR="00EE006C" w:rsidRPr="00020288" w:rsidRDefault="00EE006C">
            <w:pPr>
              <w:pStyle w:val="Normalparatextnonumbers"/>
            </w:pPr>
            <w:r>
              <w:t>AASB</w:t>
            </w:r>
          </w:p>
        </w:tc>
        <w:tc>
          <w:tcPr>
            <w:tcW w:w="3874" w:type="dxa"/>
          </w:tcPr>
          <w:p w14:paraId="4015ECB7" w14:textId="77777777" w:rsidR="00EE006C" w:rsidRPr="00020288" w:rsidRDefault="00EE006C">
            <w:pPr>
              <w:pStyle w:val="Normalparatextnonumbers"/>
            </w:pPr>
            <w:r>
              <w:t xml:space="preserve">Australian Accounting Standards Board </w:t>
            </w:r>
          </w:p>
        </w:tc>
      </w:tr>
      <w:tr w:rsidR="00EE006C" w:rsidRPr="00020288" w14:paraId="7CB23B96" w14:textId="77777777">
        <w:tc>
          <w:tcPr>
            <w:tcW w:w="3776" w:type="dxa"/>
          </w:tcPr>
          <w:p w14:paraId="0443BB7D" w14:textId="77777777" w:rsidR="00EE006C" w:rsidRDefault="00EE006C">
            <w:pPr>
              <w:pStyle w:val="Normalparatextnonumbers"/>
            </w:pPr>
            <w:r>
              <w:t>AFAS</w:t>
            </w:r>
          </w:p>
        </w:tc>
        <w:tc>
          <w:tcPr>
            <w:tcW w:w="3874" w:type="dxa"/>
          </w:tcPr>
          <w:p w14:paraId="357C4D67" w14:textId="349BB9A9" w:rsidR="00EE006C" w:rsidRDefault="00824D47">
            <w:pPr>
              <w:pStyle w:val="Normalparatextnonumbers"/>
            </w:pPr>
            <w:r>
              <w:t xml:space="preserve">Either an </w:t>
            </w:r>
            <w:r w:rsidR="00EE006C" w:rsidRPr="002E77A0">
              <w:t>Authorised Financial Accounting Standard</w:t>
            </w:r>
            <w:r w:rsidR="00EE006C">
              <w:t xml:space="preserve"> or </w:t>
            </w:r>
            <w:r w:rsidR="00EE006C" w:rsidRPr="00F830A1">
              <w:rPr>
                <w:rStyle w:val="References"/>
                <w:b w:val="0"/>
                <w:bCs w:val="0"/>
                <w:i w:val="0"/>
                <w:iCs w:val="0"/>
              </w:rPr>
              <w:t>Acceptable Financial Accounting Standard</w:t>
            </w:r>
          </w:p>
        </w:tc>
      </w:tr>
      <w:tr w:rsidR="009E2AFC" w:rsidRPr="00020288" w14:paraId="2DA7AC68" w14:textId="77777777">
        <w:tc>
          <w:tcPr>
            <w:tcW w:w="3776" w:type="dxa"/>
          </w:tcPr>
          <w:p w14:paraId="26E499DA" w14:textId="02BDE36C" w:rsidR="009E2AFC" w:rsidRDefault="00BB4A0B">
            <w:pPr>
              <w:pStyle w:val="Normalparatextnonumbers"/>
            </w:pPr>
            <w:r>
              <w:t>Agreed Administrative Guidance</w:t>
            </w:r>
          </w:p>
        </w:tc>
        <w:tc>
          <w:tcPr>
            <w:tcW w:w="3874" w:type="dxa"/>
          </w:tcPr>
          <w:p w14:paraId="2659FF9E" w14:textId="77777777" w:rsidR="00BB4A0B" w:rsidRPr="0098066B" w:rsidRDefault="00824AD0">
            <w:pPr>
              <w:pStyle w:val="Normalparatextnonumbers"/>
            </w:pPr>
            <w:r w:rsidRPr="0098066B">
              <w:t xml:space="preserve">The </w:t>
            </w:r>
            <w:r w:rsidR="00BB4A0B" w:rsidRPr="0098066B">
              <w:t xml:space="preserve">following </w:t>
            </w:r>
            <w:r w:rsidRPr="0098066B">
              <w:t>collection of</w:t>
            </w:r>
            <w:r w:rsidR="00BB4A0B" w:rsidRPr="0098066B">
              <w:t xml:space="preserve"> documents:</w:t>
            </w:r>
          </w:p>
          <w:p w14:paraId="08D00B40" w14:textId="732BE878" w:rsidR="009E2AFC" w:rsidRPr="0098066B" w:rsidRDefault="00824AD0" w:rsidP="0098066B">
            <w:pPr>
              <w:pStyle w:val="Bullet"/>
              <w:tabs>
                <w:tab w:val="clear" w:pos="1040"/>
                <w:tab w:val="num" w:pos="227"/>
              </w:tabs>
              <w:ind w:left="227" w:hanging="227"/>
              <w:rPr>
                <w:color w:val="auto"/>
              </w:rPr>
            </w:pPr>
            <w:r w:rsidRPr="0098066B">
              <w:rPr>
                <w:i/>
                <w:color w:val="auto"/>
              </w:rPr>
              <w:t>Tax Challenges Arising from the Digitalisation of the Economy – Administrative Guidance on the Global Anti</w:t>
            </w:r>
            <w:r w:rsidRPr="0098066B">
              <w:rPr>
                <w:i/>
                <w:color w:val="auto"/>
              </w:rPr>
              <w:noBreakHyphen/>
              <w:t>Base Erosion Model Rules (Pillar Two)</w:t>
            </w:r>
            <w:r w:rsidRPr="0098066B">
              <w:rPr>
                <w:color w:val="auto"/>
              </w:rPr>
              <w:t xml:space="preserve"> published by the OECD on 2 February 2023</w:t>
            </w:r>
          </w:p>
          <w:p w14:paraId="0899A1AF" w14:textId="2574467E" w:rsidR="00BB4A0B" w:rsidRPr="0098066B" w:rsidRDefault="00C95D11" w:rsidP="0098066B">
            <w:pPr>
              <w:pStyle w:val="Bullet"/>
              <w:tabs>
                <w:tab w:val="clear" w:pos="1040"/>
                <w:tab w:val="num" w:pos="227"/>
              </w:tabs>
              <w:ind w:left="227" w:hanging="227"/>
              <w:rPr>
                <w:color w:val="auto"/>
              </w:rPr>
            </w:pPr>
            <w:r w:rsidRPr="0098066B">
              <w:rPr>
                <w:i/>
                <w:color w:val="auto"/>
              </w:rPr>
              <w:t>Tax Challenges Arising from the Digitalisation of the Economy – Administrative Guidance on the Global Anti</w:t>
            </w:r>
            <w:r w:rsidRPr="0098066B">
              <w:rPr>
                <w:i/>
                <w:color w:val="auto"/>
              </w:rPr>
              <w:noBreakHyphen/>
              <w:t>Base Erosion Model Rules (Pillar Two)</w:t>
            </w:r>
            <w:r w:rsidRPr="0098066B">
              <w:rPr>
                <w:color w:val="auto"/>
              </w:rPr>
              <w:t>, July 2023 published by the OECD on 17 July 2023</w:t>
            </w:r>
          </w:p>
          <w:p w14:paraId="2AEEFE8A" w14:textId="283816F4" w:rsidR="00BB4A0B" w:rsidRPr="006F2A0C" w:rsidRDefault="00C9486F" w:rsidP="006F2A0C">
            <w:pPr>
              <w:pStyle w:val="Bullet"/>
              <w:tabs>
                <w:tab w:val="clear" w:pos="1040"/>
                <w:tab w:val="num" w:pos="227"/>
              </w:tabs>
              <w:ind w:left="227" w:hanging="227"/>
              <w:rPr>
                <w:color w:val="auto"/>
              </w:rPr>
            </w:pPr>
            <w:r w:rsidRPr="0098066B">
              <w:rPr>
                <w:i/>
                <w:color w:val="auto"/>
              </w:rPr>
              <w:t>Tax Challenges Arising from the Digitalisation of the Economy – Administrative Guidance on the Global Anti</w:t>
            </w:r>
            <w:r w:rsidRPr="0098066B">
              <w:rPr>
                <w:i/>
                <w:color w:val="auto"/>
              </w:rPr>
              <w:noBreakHyphen/>
              <w:t>Base Erosion Model Rules (Pillar Two)</w:t>
            </w:r>
            <w:r w:rsidRPr="0098066B">
              <w:rPr>
                <w:color w:val="auto"/>
              </w:rPr>
              <w:t>, December 2023 published by the OECD on 18 December 2023</w:t>
            </w:r>
            <w:r w:rsidRPr="006F2A0C">
              <w:rPr>
                <w:color w:val="auto"/>
              </w:rPr>
              <w:t>.</w:t>
            </w:r>
          </w:p>
        </w:tc>
      </w:tr>
      <w:tr w:rsidR="00D17563" w:rsidRPr="00020288" w14:paraId="58515937" w14:textId="77777777">
        <w:tc>
          <w:tcPr>
            <w:tcW w:w="3776" w:type="dxa"/>
          </w:tcPr>
          <w:p w14:paraId="55C7599F" w14:textId="64D5D128" w:rsidR="00D17563" w:rsidRDefault="00D17563" w:rsidP="00D17563">
            <w:pPr>
              <w:pStyle w:val="Normalparatextnonumbers"/>
            </w:pPr>
            <w:r>
              <w:t>Assessment Bill</w:t>
            </w:r>
          </w:p>
        </w:tc>
        <w:tc>
          <w:tcPr>
            <w:tcW w:w="3874" w:type="dxa"/>
          </w:tcPr>
          <w:p w14:paraId="5BC60F99" w14:textId="79C5E61C" w:rsidR="00D17563" w:rsidRPr="00B36DE9" w:rsidRDefault="00D17563" w:rsidP="00D17563">
            <w:pPr>
              <w:pStyle w:val="Normalparatextnonumbers"/>
              <w:rPr>
                <w:iCs/>
              </w:rPr>
            </w:pPr>
            <w:r>
              <w:rPr>
                <w:i/>
                <w:iCs/>
              </w:rPr>
              <w:t>Taxation (Multinational</w:t>
            </w:r>
            <w:r w:rsidRPr="00EB1178">
              <w:rPr>
                <w:i/>
                <w:iCs/>
              </w:rPr>
              <w:t>—</w:t>
            </w:r>
            <w:r>
              <w:rPr>
                <w:i/>
                <w:iCs/>
              </w:rPr>
              <w:t>Global and Domestic Minimum Tax</w:t>
            </w:r>
            <w:r w:rsidRPr="00EB1178">
              <w:rPr>
                <w:i/>
                <w:iCs/>
              </w:rPr>
              <w:t xml:space="preserve">) </w:t>
            </w:r>
            <w:r>
              <w:rPr>
                <w:i/>
                <w:iCs/>
              </w:rPr>
              <w:t>Bill</w:t>
            </w:r>
            <w:r w:rsidRPr="00EB1178">
              <w:rPr>
                <w:i/>
                <w:iCs/>
              </w:rPr>
              <w:t xml:space="preserve"> 2024</w:t>
            </w:r>
          </w:p>
        </w:tc>
      </w:tr>
      <w:tr w:rsidR="00B47692" w:rsidRPr="00020288" w14:paraId="46CF0111" w14:textId="77777777">
        <w:tc>
          <w:tcPr>
            <w:tcW w:w="3776" w:type="dxa"/>
          </w:tcPr>
          <w:p w14:paraId="2230A347" w14:textId="2BF41661" w:rsidR="00B47692" w:rsidRDefault="00A97393">
            <w:pPr>
              <w:pStyle w:val="Normalparatextnonumbers"/>
            </w:pPr>
            <w:r w:rsidRPr="00A97393">
              <w:t>ATO</w:t>
            </w:r>
          </w:p>
        </w:tc>
        <w:tc>
          <w:tcPr>
            <w:tcW w:w="3874" w:type="dxa"/>
          </w:tcPr>
          <w:p w14:paraId="3EF48CEC" w14:textId="5CC7CD54" w:rsidR="00B47692" w:rsidRPr="00F75FA8" w:rsidRDefault="00EE1BA2">
            <w:pPr>
              <w:pStyle w:val="Normalparatextnonumbers"/>
              <w:rPr>
                <w:i/>
                <w:iCs/>
              </w:rPr>
            </w:pPr>
            <w:r>
              <w:t>Australian Taxation Office</w:t>
            </w:r>
          </w:p>
        </w:tc>
      </w:tr>
      <w:tr w:rsidR="00EE006C" w:rsidRPr="00020288" w14:paraId="1023A89B" w14:textId="77777777">
        <w:tc>
          <w:tcPr>
            <w:tcW w:w="3776" w:type="dxa"/>
          </w:tcPr>
          <w:p w14:paraId="6A659FB3" w14:textId="77777777" w:rsidR="00EE006C" w:rsidRDefault="00EE006C">
            <w:pPr>
              <w:pStyle w:val="Normalparatextnonumbers"/>
            </w:pPr>
            <w:r>
              <w:t>CFS</w:t>
            </w:r>
          </w:p>
        </w:tc>
        <w:tc>
          <w:tcPr>
            <w:tcW w:w="3874" w:type="dxa"/>
          </w:tcPr>
          <w:p w14:paraId="57AC82D2" w14:textId="77777777" w:rsidR="00EE006C" w:rsidRDefault="00EE006C">
            <w:pPr>
              <w:pStyle w:val="Normalparatextnonumbers"/>
            </w:pPr>
            <w:r>
              <w:t xml:space="preserve">Consolidated Financial Statements </w:t>
            </w:r>
          </w:p>
        </w:tc>
      </w:tr>
      <w:tr w:rsidR="004E5B92" w:rsidRPr="00020288" w14:paraId="7A672DE2" w14:textId="77777777">
        <w:tc>
          <w:tcPr>
            <w:tcW w:w="3776" w:type="dxa"/>
          </w:tcPr>
          <w:p w14:paraId="70360782" w14:textId="2307BD80" w:rsidR="004E5B92" w:rsidRDefault="004E5B92">
            <w:pPr>
              <w:pStyle w:val="Normalparatextnonumbers"/>
            </w:pPr>
            <w:r>
              <w:t>Commentary</w:t>
            </w:r>
          </w:p>
        </w:tc>
        <w:tc>
          <w:tcPr>
            <w:tcW w:w="3874" w:type="dxa"/>
          </w:tcPr>
          <w:p w14:paraId="63CAE95B" w14:textId="2F494B62" w:rsidR="004E5B92" w:rsidRDefault="000658FC">
            <w:pPr>
              <w:pStyle w:val="Normalparatextnonumbers"/>
            </w:pPr>
            <w:r w:rsidRPr="00DD6CEA">
              <w:rPr>
                <w:i/>
              </w:rPr>
              <w:t xml:space="preserve">Tax Challenges Arising from the Digitalisation of the Economy </w:t>
            </w:r>
            <w:r w:rsidRPr="00555E48">
              <w:rPr>
                <w:i/>
              </w:rPr>
              <w:t>–</w:t>
            </w:r>
            <w:r>
              <w:rPr>
                <w:i/>
              </w:rPr>
              <w:t xml:space="preserve"> </w:t>
            </w:r>
            <w:r w:rsidRPr="00DD6CEA">
              <w:rPr>
                <w:i/>
              </w:rPr>
              <w:lastRenderedPageBreak/>
              <w:t>Commentary to the Global Anti</w:t>
            </w:r>
            <w:r>
              <w:rPr>
                <w:i/>
              </w:rPr>
              <w:noBreakHyphen/>
            </w:r>
            <w:r w:rsidRPr="00DD6CEA">
              <w:rPr>
                <w:i/>
              </w:rPr>
              <w:t>Base Erosion Model Rules (Pillar Two)</w:t>
            </w:r>
            <w:r w:rsidRPr="00DD6CEA">
              <w:t xml:space="preserve"> published by the OECD on </w:t>
            </w:r>
            <w:r>
              <w:t>14 March</w:t>
            </w:r>
            <w:r w:rsidRPr="00DD6CEA">
              <w:t xml:space="preserve"> 2022</w:t>
            </w:r>
          </w:p>
        </w:tc>
      </w:tr>
      <w:tr w:rsidR="00EE006C" w:rsidRPr="00020288" w14:paraId="5CD2CD4B" w14:textId="77777777">
        <w:tc>
          <w:tcPr>
            <w:tcW w:w="3776" w:type="dxa"/>
          </w:tcPr>
          <w:p w14:paraId="4307EE84" w14:textId="77777777" w:rsidR="00EE006C" w:rsidRDefault="00EE006C">
            <w:pPr>
              <w:pStyle w:val="Normalparatextnonumbers"/>
            </w:pPr>
            <w:r>
              <w:lastRenderedPageBreak/>
              <w:t>Commissioner</w:t>
            </w:r>
          </w:p>
        </w:tc>
        <w:tc>
          <w:tcPr>
            <w:tcW w:w="3874" w:type="dxa"/>
          </w:tcPr>
          <w:p w14:paraId="22561E3D" w14:textId="77777777" w:rsidR="00EE006C" w:rsidRDefault="00EE006C">
            <w:pPr>
              <w:pStyle w:val="Normalparatextnonumbers"/>
            </w:pPr>
            <w:r>
              <w:t xml:space="preserve">The Commissioner of Taxation </w:t>
            </w:r>
          </w:p>
        </w:tc>
      </w:tr>
      <w:tr w:rsidR="00B36DE9" w:rsidRPr="00020288" w14:paraId="436D1F68" w14:textId="77777777">
        <w:tc>
          <w:tcPr>
            <w:tcW w:w="3776" w:type="dxa"/>
          </w:tcPr>
          <w:p w14:paraId="2CC9A1D5" w14:textId="4E00EF9F" w:rsidR="00B36DE9" w:rsidRDefault="00B36DE9" w:rsidP="00B36DE9">
            <w:pPr>
              <w:pStyle w:val="Normalparatextnonumbers"/>
            </w:pPr>
            <w:r>
              <w:t>Consequential Bill</w:t>
            </w:r>
          </w:p>
        </w:tc>
        <w:tc>
          <w:tcPr>
            <w:tcW w:w="3874" w:type="dxa"/>
          </w:tcPr>
          <w:p w14:paraId="4E52394D" w14:textId="14F58ED7" w:rsidR="00B36DE9" w:rsidRDefault="00B36DE9" w:rsidP="00B36DE9">
            <w:pPr>
              <w:pStyle w:val="Normalparatextnonumbers"/>
            </w:pPr>
            <w:r w:rsidRPr="00EF4E97">
              <w:rPr>
                <w:i/>
              </w:rPr>
              <w:t>Treasury Laws Amendment (Multinational—Global and Domestic Minimum Tax) (Consequential) Bill 202</w:t>
            </w:r>
            <w:r>
              <w:rPr>
                <w:i/>
              </w:rPr>
              <w:t>4</w:t>
            </w:r>
          </w:p>
        </w:tc>
      </w:tr>
      <w:tr w:rsidR="00EE006C" w:rsidRPr="00020288" w14:paraId="6D18C229" w14:textId="77777777">
        <w:tc>
          <w:tcPr>
            <w:tcW w:w="3776" w:type="dxa"/>
          </w:tcPr>
          <w:p w14:paraId="1E1AACDC" w14:textId="77777777" w:rsidR="00EE006C" w:rsidRDefault="00EE006C">
            <w:pPr>
              <w:pStyle w:val="Normalparatextnonumbers"/>
            </w:pPr>
            <w:r>
              <w:t>DMT</w:t>
            </w:r>
          </w:p>
        </w:tc>
        <w:tc>
          <w:tcPr>
            <w:tcW w:w="3874" w:type="dxa"/>
          </w:tcPr>
          <w:p w14:paraId="00663C02" w14:textId="4F7B2DCD" w:rsidR="00EE006C" w:rsidRDefault="00EE006C">
            <w:pPr>
              <w:pStyle w:val="Normalparatextnonumbers"/>
            </w:pPr>
            <w:r>
              <w:t xml:space="preserve">Domestic </w:t>
            </w:r>
            <w:r w:rsidR="004F7AE7">
              <w:t>Minimum Tax</w:t>
            </w:r>
          </w:p>
        </w:tc>
      </w:tr>
      <w:tr w:rsidR="00EE006C" w:rsidRPr="00020288" w14:paraId="5E43C49D" w14:textId="77777777">
        <w:tc>
          <w:tcPr>
            <w:tcW w:w="3776" w:type="dxa"/>
          </w:tcPr>
          <w:p w14:paraId="69DD89E4" w14:textId="77777777" w:rsidR="00EE006C" w:rsidRDefault="00EE006C">
            <w:pPr>
              <w:pStyle w:val="Normalparatextnonumbers"/>
            </w:pPr>
            <w:r>
              <w:t>ETR</w:t>
            </w:r>
          </w:p>
        </w:tc>
        <w:tc>
          <w:tcPr>
            <w:tcW w:w="3874" w:type="dxa"/>
          </w:tcPr>
          <w:p w14:paraId="72FFE6BD" w14:textId="4F91ECB1" w:rsidR="00EE006C" w:rsidRDefault="004F7AE7">
            <w:pPr>
              <w:pStyle w:val="Normalparatextnonumbers"/>
            </w:pPr>
            <w:r>
              <w:t>Effective Tax Rate</w:t>
            </w:r>
          </w:p>
        </w:tc>
      </w:tr>
      <w:tr w:rsidR="00EE006C" w:rsidRPr="00020288" w14:paraId="687EFF41" w14:textId="77777777">
        <w:tc>
          <w:tcPr>
            <w:tcW w:w="3776" w:type="dxa"/>
          </w:tcPr>
          <w:p w14:paraId="68DAA0DC" w14:textId="77777777" w:rsidR="00EE006C" w:rsidRDefault="00EE006C">
            <w:pPr>
              <w:pStyle w:val="Normalparatextnonumbers"/>
            </w:pPr>
            <w:r>
              <w:t>FANIL</w:t>
            </w:r>
          </w:p>
        </w:tc>
        <w:tc>
          <w:tcPr>
            <w:tcW w:w="3874" w:type="dxa"/>
          </w:tcPr>
          <w:p w14:paraId="265A125B" w14:textId="182BEE66" w:rsidR="00EE006C" w:rsidRDefault="004F7AE7">
            <w:pPr>
              <w:pStyle w:val="Normalparatextnonumbers"/>
            </w:pPr>
            <w:r>
              <w:t>Financial Accounting Net Income or Loss</w:t>
            </w:r>
          </w:p>
        </w:tc>
      </w:tr>
      <w:tr w:rsidR="00E33DE1" w:rsidRPr="00020288" w14:paraId="1AFAB30B" w14:textId="77777777">
        <w:tc>
          <w:tcPr>
            <w:tcW w:w="3776" w:type="dxa"/>
          </w:tcPr>
          <w:p w14:paraId="0BB3702F" w14:textId="375268E6" w:rsidR="00E33DE1" w:rsidRDefault="00E33DE1">
            <w:pPr>
              <w:pStyle w:val="Normalparatextnonumbers"/>
            </w:pPr>
            <w:r>
              <w:t>FITO</w:t>
            </w:r>
          </w:p>
        </w:tc>
        <w:tc>
          <w:tcPr>
            <w:tcW w:w="3874" w:type="dxa"/>
          </w:tcPr>
          <w:p w14:paraId="7DE37B36" w14:textId="429D6B1B" w:rsidR="00E33DE1" w:rsidRDefault="00E33DE1">
            <w:pPr>
              <w:pStyle w:val="Normalparatextnonumbers"/>
            </w:pPr>
            <w:r>
              <w:t>Foreign Income Tax Offset</w:t>
            </w:r>
          </w:p>
        </w:tc>
      </w:tr>
      <w:tr w:rsidR="00EE006C" w:rsidRPr="00020288" w14:paraId="4536197C" w14:textId="77777777">
        <w:tc>
          <w:tcPr>
            <w:tcW w:w="3776" w:type="dxa"/>
          </w:tcPr>
          <w:p w14:paraId="6B13446A" w14:textId="77777777" w:rsidR="00EE006C" w:rsidRDefault="00EE006C">
            <w:pPr>
              <w:pStyle w:val="Normalparatextnonumbers"/>
            </w:pPr>
            <w:r>
              <w:t>FXGL</w:t>
            </w:r>
          </w:p>
        </w:tc>
        <w:tc>
          <w:tcPr>
            <w:tcW w:w="3874" w:type="dxa"/>
          </w:tcPr>
          <w:p w14:paraId="5D34949C" w14:textId="4A085EC2" w:rsidR="00EE006C" w:rsidRDefault="004F7AE7">
            <w:pPr>
              <w:pStyle w:val="Normalparatextnonumbers"/>
            </w:pPr>
            <w:r>
              <w:t>Foreign Currency Exchange Gains or Losses</w:t>
            </w:r>
          </w:p>
        </w:tc>
      </w:tr>
      <w:tr w:rsidR="00EE006C" w:rsidRPr="00020288" w14:paraId="7932D38A" w14:textId="77777777">
        <w:tc>
          <w:tcPr>
            <w:tcW w:w="3776" w:type="dxa"/>
          </w:tcPr>
          <w:p w14:paraId="69BA115C" w14:textId="77777777" w:rsidR="00EE006C" w:rsidRPr="00020288" w:rsidRDefault="00EE006C">
            <w:pPr>
              <w:pStyle w:val="Normalparatextnonumbers"/>
            </w:pPr>
            <w:r>
              <w:t>GloBE Rules</w:t>
            </w:r>
          </w:p>
        </w:tc>
        <w:tc>
          <w:tcPr>
            <w:tcW w:w="3874" w:type="dxa"/>
          </w:tcPr>
          <w:p w14:paraId="2238D43C" w14:textId="79E0D31C" w:rsidR="00EE006C" w:rsidRPr="00020288" w:rsidRDefault="00180417">
            <w:pPr>
              <w:pStyle w:val="Normalparatextnonumbers"/>
            </w:pPr>
            <w:r w:rsidRPr="00546592">
              <w:t xml:space="preserve">OECD GloBE Model Rules </w:t>
            </w:r>
            <w:r>
              <w:t>(as modified by the Commentary</w:t>
            </w:r>
            <w:r w:rsidR="006D14E4">
              <w:t xml:space="preserve">, </w:t>
            </w:r>
            <w:r>
              <w:t>Agreed Administrative Guidance</w:t>
            </w:r>
            <w:r w:rsidR="006D14E4">
              <w:t xml:space="preserve"> and Safe Harbours Rules</w:t>
            </w:r>
            <w:r>
              <w:t>)</w:t>
            </w:r>
          </w:p>
        </w:tc>
      </w:tr>
      <w:tr w:rsidR="00EE006C" w:rsidRPr="00020288" w14:paraId="36EFC7A1" w14:textId="77777777">
        <w:tc>
          <w:tcPr>
            <w:tcW w:w="3776" w:type="dxa"/>
          </w:tcPr>
          <w:p w14:paraId="2DEA5BDB" w14:textId="77777777" w:rsidR="00EE006C" w:rsidRDefault="00EE006C">
            <w:pPr>
              <w:pStyle w:val="Normalparatextnonumbers"/>
            </w:pPr>
            <w:r>
              <w:t>IIR</w:t>
            </w:r>
          </w:p>
        </w:tc>
        <w:tc>
          <w:tcPr>
            <w:tcW w:w="3874" w:type="dxa"/>
          </w:tcPr>
          <w:p w14:paraId="12D2AAD1" w14:textId="4A65B0AE" w:rsidR="00EE006C" w:rsidRDefault="00EE006C">
            <w:pPr>
              <w:pStyle w:val="Normalparatextnonumbers"/>
            </w:pPr>
            <w:r>
              <w:t>Income Inclusion Rule</w:t>
            </w:r>
            <w:r w:rsidR="00C30C16">
              <w:t xml:space="preserve"> as Defined in the GloBE Rules</w:t>
            </w:r>
          </w:p>
        </w:tc>
      </w:tr>
      <w:tr w:rsidR="009E0433" w:rsidRPr="00020288" w14:paraId="7B3BCD50" w14:textId="77777777">
        <w:tc>
          <w:tcPr>
            <w:tcW w:w="3776" w:type="dxa"/>
          </w:tcPr>
          <w:p w14:paraId="3B20D503" w14:textId="14A8EDC5" w:rsidR="009E0433" w:rsidRDefault="009E0433">
            <w:pPr>
              <w:pStyle w:val="Normalparatextnonumbers"/>
            </w:pPr>
            <w:r>
              <w:t>Imposition Bill</w:t>
            </w:r>
          </w:p>
        </w:tc>
        <w:tc>
          <w:tcPr>
            <w:tcW w:w="3874" w:type="dxa"/>
          </w:tcPr>
          <w:p w14:paraId="75989FEA" w14:textId="3C6474BD" w:rsidR="009E0433" w:rsidRDefault="009E0433">
            <w:pPr>
              <w:pStyle w:val="Normalparatextnonumbers"/>
            </w:pPr>
            <w:r w:rsidRPr="00BE1F1F">
              <w:rPr>
                <w:rStyle w:val="ui-provider"/>
                <w:i/>
              </w:rPr>
              <w:t>Taxation (Multinational—Global and Domestic Minimum Tax) Imposition Bill 2024</w:t>
            </w:r>
          </w:p>
        </w:tc>
      </w:tr>
      <w:tr w:rsidR="00EE006C" w:rsidRPr="00020288" w14:paraId="746E8938" w14:textId="77777777">
        <w:tc>
          <w:tcPr>
            <w:tcW w:w="3776" w:type="dxa"/>
          </w:tcPr>
          <w:p w14:paraId="27CA2BB4" w14:textId="77777777" w:rsidR="00EE006C" w:rsidRDefault="00EE006C">
            <w:pPr>
              <w:pStyle w:val="Normalparatextnonumbers"/>
            </w:pPr>
            <w:r>
              <w:t>IPE</w:t>
            </w:r>
          </w:p>
        </w:tc>
        <w:tc>
          <w:tcPr>
            <w:tcW w:w="3874" w:type="dxa"/>
          </w:tcPr>
          <w:p w14:paraId="11FB656C" w14:textId="3F873755" w:rsidR="00EE006C" w:rsidRDefault="00EE006C">
            <w:pPr>
              <w:pStyle w:val="Normalparatextnonumbers"/>
            </w:pPr>
            <w:r w:rsidRPr="00924B40">
              <w:t>Intermediate Parent Entity</w:t>
            </w:r>
            <w:r w:rsidR="00DC4B5D">
              <w:t xml:space="preserve"> as defined in the GloBE Rules</w:t>
            </w:r>
          </w:p>
        </w:tc>
      </w:tr>
      <w:tr w:rsidR="00835EFD" w:rsidRPr="00020288" w14:paraId="14F2D1CA" w14:textId="77777777">
        <w:tc>
          <w:tcPr>
            <w:tcW w:w="3776" w:type="dxa"/>
          </w:tcPr>
          <w:p w14:paraId="0A36BD24" w14:textId="061E0FB1" w:rsidR="00835EFD" w:rsidRDefault="00835EFD">
            <w:pPr>
              <w:pStyle w:val="Normalparatextnonumbers"/>
            </w:pPr>
            <w:r>
              <w:t>ITAA 1936</w:t>
            </w:r>
          </w:p>
        </w:tc>
        <w:tc>
          <w:tcPr>
            <w:tcW w:w="3874" w:type="dxa"/>
          </w:tcPr>
          <w:p w14:paraId="7102D6AE" w14:textId="27A873E4" w:rsidR="00835EFD" w:rsidRPr="00924B40" w:rsidRDefault="00835EFD">
            <w:pPr>
              <w:pStyle w:val="Normalparatextnonumbers"/>
            </w:pPr>
            <w:r w:rsidRPr="007B6DA0">
              <w:rPr>
                <w:i/>
                <w:iCs/>
              </w:rPr>
              <w:t>Income Tax Assessment Act</w:t>
            </w:r>
            <w:r>
              <w:rPr>
                <w:i/>
                <w:iCs/>
              </w:rPr>
              <w:t xml:space="preserve"> 1936</w:t>
            </w:r>
          </w:p>
        </w:tc>
      </w:tr>
      <w:tr w:rsidR="00EE006C" w:rsidRPr="00020288" w14:paraId="79083181" w14:textId="77777777">
        <w:tc>
          <w:tcPr>
            <w:tcW w:w="3776" w:type="dxa"/>
          </w:tcPr>
          <w:p w14:paraId="4F9310E5" w14:textId="77777777" w:rsidR="00EE006C" w:rsidRDefault="00EE006C">
            <w:pPr>
              <w:pStyle w:val="Normalparatextnonumbers"/>
            </w:pPr>
            <w:r>
              <w:t>ITAA 1997</w:t>
            </w:r>
          </w:p>
        </w:tc>
        <w:tc>
          <w:tcPr>
            <w:tcW w:w="3874" w:type="dxa"/>
          </w:tcPr>
          <w:p w14:paraId="57FBFC3A" w14:textId="642900F7" w:rsidR="00EE006C" w:rsidRPr="007B6DA0" w:rsidRDefault="00EE006C">
            <w:pPr>
              <w:pStyle w:val="Normalparatextnonumbers"/>
              <w:rPr>
                <w:i/>
                <w:iCs/>
              </w:rPr>
            </w:pPr>
            <w:r w:rsidRPr="007B6DA0">
              <w:rPr>
                <w:i/>
                <w:iCs/>
              </w:rPr>
              <w:t>Income Tax Assessment Act 1997</w:t>
            </w:r>
          </w:p>
        </w:tc>
      </w:tr>
      <w:tr w:rsidR="00EE006C" w:rsidRPr="00020288" w14:paraId="661CCE00" w14:textId="77777777">
        <w:tc>
          <w:tcPr>
            <w:tcW w:w="3776" w:type="dxa"/>
          </w:tcPr>
          <w:p w14:paraId="4A602C68" w14:textId="77777777" w:rsidR="00EE006C" w:rsidRDefault="00EE006C">
            <w:pPr>
              <w:pStyle w:val="Normalparatextnonumbers"/>
            </w:pPr>
            <w:r>
              <w:t>JV</w:t>
            </w:r>
          </w:p>
        </w:tc>
        <w:tc>
          <w:tcPr>
            <w:tcW w:w="3874" w:type="dxa"/>
          </w:tcPr>
          <w:p w14:paraId="66946613" w14:textId="1B77FD9C" w:rsidR="00EE006C" w:rsidRPr="00924B40" w:rsidRDefault="00EE006C">
            <w:pPr>
              <w:pStyle w:val="Normalparatextnonumbers"/>
            </w:pPr>
            <w:r w:rsidRPr="00037CDE">
              <w:t xml:space="preserve">Joint </w:t>
            </w:r>
            <w:r w:rsidR="004F7AE7">
              <w:t>V</w:t>
            </w:r>
            <w:r w:rsidR="004F7AE7" w:rsidRPr="00037CDE">
              <w:t>enture</w:t>
            </w:r>
            <w:r w:rsidR="004F7AE7">
              <w:t xml:space="preserve"> </w:t>
            </w:r>
          </w:p>
        </w:tc>
      </w:tr>
      <w:tr w:rsidR="00EE006C" w:rsidRPr="00020288" w14:paraId="57AEE359" w14:textId="77777777">
        <w:tc>
          <w:tcPr>
            <w:tcW w:w="3776" w:type="dxa"/>
          </w:tcPr>
          <w:p w14:paraId="7A17D3CD" w14:textId="77777777" w:rsidR="00EE006C" w:rsidRDefault="00EE006C">
            <w:pPr>
              <w:pStyle w:val="Normalparatextnonumbers"/>
            </w:pPr>
            <w:r>
              <w:t>LTCE</w:t>
            </w:r>
          </w:p>
        </w:tc>
        <w:tc>
          <w:tcPr>
            <w:tcW w:w="3874" w:type="dxa"/>
          </w:tcPr>
          <w:p w14:paraId="7F255EB3" w14:textId="77777777" w:rsidR="00EE006C" w:rsidRDefault="00EE006C">
            <w:pPr>
              <w:pStyle w:val="Normalparatextnonumbers"/>
            </w:pPr>
            <w:r>
              <w:t>Low-Taxed Constituent Entity</w:t>
            </w:r>
          </w:p>
        </w:tc>
      </w:tr>
      <w:tr w:rsidR="00EE006C" w:rsidRPr="00020288" w14:paraId="1A2A2096" w14:textId="77777777">
        <w:tc>
          <w:tcPr>
            <w:tcW w:w="3776" w:type="dxa"/>
          </w:tcPr>
          <w:p w14:paraId="6B54C3F1" w14:textId="77777777" w:rsidR="00EE006C" w:rsidRDefault="00EE006C">
            <w:pPr>
              <w:pStyle w:val="Normalparatextnonumbers"/>
            </w:pPr>
            <w:r>
              <w:rPr>
                <w:rStyle w:val="ui-provider"/>
              </w:rPr>
              <w:lastRenderedPageBreak/>
              <w:t>MOCE</w:t>
            </w:r>
          </w:p>
        </w:tc>
        <w:tc>
          <w:tcPr>
            <w:tcW w:w="3874" w:type="dxa"/>
          </w:tcPr>
          <w:p w14:paraId="2DEDE2FF" w14:textId="77777777" w:rsidR="00EE006C" w:rsidRDefault="00EE006C">
            <w:pPr>
              <w:pStyle w:val="Normalparatextnonumbers"/>
            </w:pPr>
            <w:r>
              <w:rPr>
                <w:rStyle w:val="ui-provider"/>
              </w:rPr>
              <w:t>Minority-owned Constituent Entity</w:t>
            </w:r>
          </w:p>
        </w:tc>
      </w:tr>
      <w:tr w:rsidR="00EE006C" w:rsidRPr="00020288" w14:paraId="51640538" w14:textId="77777777">
        <w:tc>
          <w:tcPr>
            <w:tcW w:w="3776" w:type="dxa"/>
          </w:tcPr>
          <w:p w14:paraId="5D30ED10" w14:textId="77777777" w:rsidR="00EE006C" w:rsidRDefault="00EE006C">
            <w:pPr>
              <w:pStyle w:val="Normalparatextnonumbers"/>
              <w:rPr>
                <w:rStyle w:val="ui-provider"/>
              </w:rPr>
            </w:pPr>
            <w:r>
              <w:rPr>
                <w:rStyle w:val="ui-provider"/>
              </w:rPr>
              <w:t>MNE</w:t>
            </w:r>
          </w:p>
        </w:tc>
        <w:tc>
          <w:tcPr>
            <w:tcW w:w="3874" w:type="dxa"/>
          </w:tcPr>
          <w:p w14:paraId="39035F19" w14:textId="1854CB7A" w:rsidR="00EE006C" w:rsidRDefault="00EE006C">
            <w:pPr>
              <w:pStyle w:val="Normalparatextnonumbers"/>
              <w:rPr>
                <w:rStyle w:val="ui-provider"/>
              </w:rPr>
            </w:pPr>
            <w:r>
              <w:rPr>
                <w:rStyle w:val="ui-provider"/>
              </w:rPr>
              <w:t xml:space="preserve">Multinational </w:t>
            </w:r>
            <w:r w:rsidR="006F2A0C">
              <w:rPr>
                <w:rStyle w:val="ui-provider"/>
              </w:rPr>
              <w:t>e</w:t>
            </w:r>
            <w:r w:rsidR="004F7AE7">
              <w:rPr>
                <w:rStyle w:val="ui-provider"/>
              </w:rPr>
              <w:t>nterprise</w:t>
            </w:r>
          </w:p>
        </w:tc>
      </w:tr>
      <w:tr w:rsidR="00B22D4C" w:rsidRPr="00020288" w14:paraId="455B780B" w14:textId="77777777">
        <w:tc>
          <w:tcPr>
            <w:tcW w:w="3776" w:type="dxa"/>
          </w:tcPr>
          <w:p w14:paraId="030C1FB1" w14:textId="7A37D555" w:rsidR="00B22D4C" w:rsidRDefault="00B22D4C">
            <w:pPr>
              <w:pStyle w:val="Normalparatextnonumbers"/>
              <w:rPr>
                <w:rStyle w:val="ui-provider"/>
              </w:rPr>
            </w:pPr>
            <w:r>
              <w:rPr>
                <w:rStyle w:val="ui-provider"/>
              </w:rPr>
              <w:t>MNE Group</w:t>
            </w:r>
          </w:p>
        </w:tc>
        <w:tc>
          <w:tcPr>
            <w:tcW w:w="3874" w:type="dxa"/>
          </w:tcPr>
          <w:p w14:paraId="03288AA4" w14:textId="4A6E0C7C" w:rsidR="00B22D4C" w:rsidRDefault="00B22D4C">
            <w:pPr>
              <w:pStyle w:val="Normalparatextnonumbers"/>
              <w:rPr>
                <w:rStyle w:val="ui-provider"/>
              </w:rPr>
            </w:pPr>
            <w:r>
              <w:rPr>
                <w:rStyle w:val="ui-provider"/>
              </w:rPr>
              <w:t>MNE Group as defined in the GloBE Rules</w:t>
            </w:r>
          </w:p>
        </w:tc>
      </w:tr>
      <w:tr w:rsidR="00EE006C" w:rsidRPr="00020288" w14:paraId="4F2339C5" w14:textId="77777777">
        <w:tc>
          <w:tcPr>
            <w:tcW w:w="3776" w:type="dxa"/>
          </w:tcPr>
          <w:p w14:paraId="05290599" w14:textId="77777777" w:rsidR="00EE006C" w:rsidRPr="00020288" w:rsidRDefault="00EE006C">
            <w:pPr>
              <w:pStyle w:val="Normalparatextnonumbers"/>
            </w:pPr>
            <w:r>
              <w:t>OECD</w:t>
            </w:r>
          </w:p>
        </w:tc>
        <w:tc>
          <w:tcPr>
            <w:tcW w:w="3874" w:type="dxa"/>
          </w:tcPr>
          <w:p w14:paraId="11C8604E" w14:textId="77777777" w:rsidR="00EE006C" w:rsidRPr="00020288" w:rsidRDefault="00EE006C">
            <w:pPr>
              <w:pStyle w:val="Normalparatextnonumbers"/>
            </w:pPr>
            <w:r>
              <w:t xml:space="preserve">Organisation for Economic Cooperation and Development </w:t>
            </w:r>
          </w:p>
        </w:tc>
      </w:tr>
      <w:tr w:rsidR="00F95198" w:rsidRPr="00020288" w14:paraId="43F317EF" w14:textId="77777777">
        <w:tc>
          <w:tcPr>
            <w:tcW w:w="3776" w:type="dxa"/>
          </w:tcPr>
          <w:p w14:paraId="48A6AC43" w14:textId="67DFE0F4" w:rsidR="00F95198" w:rsidRDefault="00F95198">
            <w:pPr>
              <w:pStyle w:val="Normalparatextnonumbers"/>
            </w:pPr>
            <w:r>
              <w:t>OECD GloBE Model Rules</w:t>
            </w:r>
          </w:p>
        </w:tc>
        <w:tc>
          <w:tcPr>
            <w:tcW w:w="3874" w:type="dxa"/>
          </w:tcPr>
          <w:p w14:paraId="3D2B5F48" w14:textId="4CFDEE31" w:rsidR="00F95198" w:rsidRDefault="009B0EE5">
            <w:pPr>
              <w:pStyle w:val="Normalparatextnonumbers"/>
            </w:pPr>
            <w:r w:rsidRPr="009B0EE5">
              <w:rPr>
                <w:i/>
                <w:iCs/>
              </w:rPr>
              <w:t xml:space="preserve">Tax Challenges Arising from the Digitalisation of the Economy – Global Anti-Base Erosion Model Rules (Pillar Two) </w:t>
            </w:r>
            <w:r>
              <w:t>published by the OECD on 20 December 2021</w:t>
            </w:r>
          </w:p>
        </w:tc>
      </w:tr>
      <w:tr w:rsidR="00A6490E" w:rsidRPr="00020288" w14:paraId="61A3094B" w14:textId="77777777">
        <w:tc>
          <w:tcPr>
            <w:tcW w:w="3776" w:type="dxa"/>
          </w:tcPr>
          <w:p w14:paraId="0CFD0689" w14:textId="0DB7A389" w:rsidR="00A6490E" w:rsidRDefault="00A6490E">
            <w:pPr>
              <w:pStyle w:val="Normalparatextnonumbers"/>
            </w:pPr>
            <w:r>
              <w:t xml:space="preserve">OECD Model Tax Convention </w:t>
            </w:r>
          </w:p>
        </w:tc>
        <w:tc>
          <w:tcPr>
            <w:tcW w:w="3874" w:type="dxa"/>
          </w:tcPr>
          <w:p w14:paraId="61F07AC7" w14:textId="503980DB" w:rsidR="00A6490E" w:rsidRPr="00914DCF" w:rsidRDefault="00914DCF">
            <w:pPr>
              <w:pStyle w:val="Normalparatextnonumbers"/>
              <w:rPr>
                <w:i/>
                <w:iCs/>
              </w:rPr>
            </w:pPr>
            <w:r>
              <w:t xml:space="preserve">OECD (2017), </w:t>
            </w:r>
            <w:r>
              <w:rPr>
                <w:i/>
                <w:iCs/>
              </w:rPr>
              <w:t xml:space="preserve">Model Tax Convention </w:t>
            </w:r>
            <w:r w:rsidR="008A3061">
              <w:rPr>
                <w:i/>
                <w:iCs/>
              </w:rPr>
              <w:t>on Income and on Capital: Conde</w:t>
            </w:r>
            <w:r w:rsidR="00B07722">
              <w:rPr>
                <w:i/>
                <w:iCs/>
              </w:rPr>
              <w:t>nsed Version 2017</w:t>
            </w:r>
          </w:p>
        </w:tc>
      </w:tr>
      <w:tr w:rsidR="00BD6594" w:rsidRPr="00020288" w14:paraId="359001DD" w14:textId="77777777">
        <w:tc>
          <w:tcPr>
            <w:tcW w:w="3776" w:type="dxa"/>
          </w:tcPr>
          <w:p w14:paraId="7A506C3D" w14:textId="72E6B755" w:rsidR="00BD6594" w:rsidRDefault="00BD6594">
            <w:pPr>
              <w:pStyle w:val="Normalparatextnonumbers"/>
            </w:pPr>
            <w:r>
              <w:t>PE</w:t>
            </w:r>
          </w:p>
        </w:tc>
        <w:tc>
          <w:tcPr>
            <w:tcW w:w="3874" w:type="dxa"/>
          </w:tcPr>
          <w:p w14:paraId="7A554DA1" w14:textId="1DFB6D00" w:rsidR="00BD6594" w:rsidRDefault="00BD6594">
            <w:pPr>
              <w:pStyle w:val="Normalparatextnonumbers"/>
            </w:pPr>
            <w:r>
              <w:t>Permanent Establishment</w:t>
            </w:r>
            <w:r w:rsidR="006F2A0C">
              <w:t xml:space="preserve"> </w:t>
            </w:r>
            <w:r w:rsidR="006F2A0C">
              <w:rPr>
                <w:rStyle w:val="ui-provider"/>
              </w:rPr>
              <w:t>as defined in the GloBE Rules</w:t>
            </w:r>
          </w:p>
        </w:tc>
      </w:tr>
      <w:tr w:rsidR="00EE006C" w:rsidRPr="00020288" w14:paraId="5956137E" w14:textId="77777777">
        <w:tc>
          <w:tcPr>
            <w:tcW w:w="3776" w:type="dxa"/>
          </w:tcPr>
          <w:p w14:paraId="156C2591" w14:textId="77777777" w:rsidR="00EE006C" w:rsidRDefault="00EE006C">
            <w:pPr>
              <w:pStyle w:val="Normalparatextnonumbers"/>
            </w:pPr>
            <w:r>
              <w:t>POPE</w:t>
            </w:r>
          </w:p>
        </w:tc>
        <w:tc>
          <w:tcPr>
            <w:tcW w:w="3874" w:type="dxa"/>
          </w:tcPr>
          <w:p w14:paraId="70E9EDD6" w14:textId="40B27D67" w:rsidR="00EE006C" w:rsidRDefault="00EE006C">
            <w:pPr>
              <w:pStyle w:val="Normalparatextnonumbers"/>
            </w:pPr>
            <w:r>
              <w:t>Partially-owned Parent Entity</w:t>
            </w:r>
            <w:r w:rsidR="006F2A0C">
              <w:t xml:space="preserve"> </w:t>
            </w:r>
            <w:r w:rsidR="006F2A0C">
              <w:rPr>
                <w:rStyle w:val="ui-provider"/>
              </w:rPr>
              <w:t>as defined in the GloBE Rules</w:t>
            </w:r>
          </w:p>
        </w:tc>
      </w:tr>
      <w:tr w:rsidR="00946EED" w:rsidRPr="00020288" w14:paraId="5075C6C7" w14:textId="77777777">
        <w:tc>
          <w:tcPr>
            <w:tcW w:w="3776" w:type="dxa"/>
          </w:tcPr>
          <w:p w14:paraId="2BD13252" w14:textId="266E2484" w:rsidR="00946EED" w:rsidRDefault="00946EED" w:rsidP="00946EED">
            <w:pPr>
              <w:pStyle w:val="Normalparatextnonumbers"/>
            </w:pPr>
            <w:r>
              <w:t>QDMTT</w:t>
            </w:r>
          </w:p>
        </w:tc>
        <w:tc>
          <w:tcPr>
            <w:tcW w:w="3874" w:type="dxa"/>
          </w:tcPr>
          <w:p w14:paraId="13842B17" w14:textId="1E403AA4" w:rsidR="00946EED" w:rsidRDefault="00946EED" w:rsidP="00946EED">
            <w:pPr>
              <w:pStyle w:val="Normalparatextnonumbers"/>
            </w:pPr>
            <w:r>
              <w:t>Qualified Domestic Minimum Top-Up Tax</w:t>
            </w:r>
            <w:r w:rsidR="006F2A0C">
              <w:t xml:space="preserve"> </w:t>
            </w:r>
            <w:r w:rsidR="006F2A0C">
              <w:rPr>
                <w:rStyle w:val="ui-provider"/>
              </w:rPr>
              <w:t>as defined in the GloBE Rules</w:t>
            </w:r>
          </w:p>
        </w:tc>
      </w:tr>
      <w:tr w:rsidR="00946EED" w:rsidRPr="00020288" w14:paraId="05DC1F4F" w14:textId="77777777">
        <w:tc>
          <w:tcPr>
            <w:tcW w:w="3776" w:type="dxa"/>
          </w:tcPr>
          <w:p w14:paraId="7BAF0705" w14:textId="235F47EF" w:rsidR="00946EED" w:rsidRDefault="00946EED" w:rsidP="00946EED">
            <w:pPr>
              <w:pStyle w:val="Normalparatextnonumbers"/>
            </w:pPr>
            <w:r>
              <w:t>QIIR</w:t>
            </w:r>
          </w:p>
        </w:tc>
        <w:tc>
          <w:tcPr>
            <w:tcW w:w="3874" w:type="dxa"/>
          </w:tcPr>
          <w:p w14:paraId="04AD427B" w14:textId="0A241AF8" w:rsidR="00946EED" w:rsidRDefault="00946EED" w:rsidP="00946EED">
            <w:pPr>
              <w:pStyle w:val="Normalparatextnonumbers"/>
            </w:pPr>
            <w:r>
              <w:t>Qualified Income Inclusion Rules</w:t>
            </w:r>
            <w:r w:rsidR="006F2A0C">
              <w:rPr>
                <w:rStyle w:val="ui-provider"/>
              </w:rPr>
              <w:t xml:space="preserve"> as defined in the GloBE Rules</w:t>
            </w:r>
          </w:p>
        </w:tc>
      </w:tr>
      <w:tr w:rsidR="00EE006C" w:rsidRPr="00020288" w14:paraId="781DE6A4" w14:textId="77777777">
        <w:tc>
          <w:tcPr>
            <w:tcW w:w="3776" w:type="dxa"/>
          </w:tcPr>
          <w:p w14:paraId="5636A037" w14:textId="77777777" w:rsidR="00EE006C" w:rsidRDefault="00EE006C">
            <w:pPr>
              <w:pStyle w:val="Normalparatextnonumbers"/>
            </w:pPr>
            <w:r>
              <w:t>RBA</w:t>
            </w:r>
          </w:p>
        </w:tc>
        <w:tc>
          <w:tcPr>
            <w:tcW w:w="3874" w:type="dxa"/>
          </w:tcPr>
          <w:p w14:paraId="08AD36D9" w14:textId="77777777" w:rsidR="00EE006C" w:rsidRDefault="00EE006C">
            <w:pPr>
              <w:pStyle w:val="Normalparatextnonumbers"/>
            </w:pPr>
            <w:r>
              <w:t>Reserve Bank of Australia</w:t>
            </w:r>
          </w:p>
        </w:tc>
      </w:tr>
      <w:tr w:rsidR="00733C9A" w:rsidRPr="00020288" w14:paraId="683B716F" w14:textId="77777777">
        <w:tc>
          <w:tcPr>
            <w:tcW w:w="3776" w:type="dxa"/>
          </w:tcPr>
          <w:p w14:paraId="3F68D6A6" w14:textId="77777777" w:rsidR="00733C9A" w:rsidRDefault="00733C9A">
            <w:pPr>
              <w:pStyle w:val="Normalparatextnonumbers"/>
            </w:pPr>
            <w:r>
              <w:t>Safe Harbours Rules</w:t>
            </w:r>
          </w:p>
        </w:tc>
        <w:tc>
          <w:tcPr>
            <w:tcW w:w="3874" w:type="dxa"/>
          </w:tcPr>
          <w:p w14:paraId="33FF67BC" w14:textId="77777777" w:rsidR="00733C9A" w:rsidRDefault="00733C9A">
            <w:pPr>
              <w:pStyle w:val="Normalparatextnonumbers"/>
            </w:pPr>
            <w:r w:rsidRPr="002553CF">
              <w:rPr>
                <w:i/>
              </w:rPr>
              <w:t>Safe Harbours and Penalty Relief: Global Anti</w:t>
            </w:r>
            <w:r>
              <w:rPr>
                <w:i/>
              </w:rPr>
              <w:noBreakHyphen/>
            </w:r>
            <w:r w:rsidRPr="002553CF">
              <w:rPr>
                <w:i/>
              </w:rPr>
              <w:t>Base Erosion Rules (Pillar Two)</w:t>
            </w:r>
            <w:r w:rsidRPr="002553CF">
              <w:t xml:space="preserve"> published by the OECD on </w:t>
            </w:r>
            <w:r>
              <w:t>20 December</w:t>
            </w:r>
            <w:r w:rsidRPr="002553CF">
              <w:t xml:space="preserve"> 2022</w:t>
            </w:r>
          </w:p>
        </w:tc>
      </w:tr>
      <w:tr w:rsidR="00733C9A" w:rsidRPr="00020288" w14:paraId="40C40A18" w14:textId="77777777">
        <w:tc>
          <w:tcPr>
            <w:tcW w:w="3776" w:type="dxa"/>
          </w:tcPr>
          <w:p w14:paraId="4B7B9CDE" w14:textId="77777777" w:rsidR="00733C9A" w:rsidRDefault="00733C9A">
            <w:pPr>
              <w:pStyle w:val="Normalparatextnonumbers"/>
            </w:pPr>
            <w:r>
              <w:t>The Rules</w:t>
            </w:r>
          </w:p>
        </w:tc>
        <w:tc>
          <w:tcPr>
            <w:tcW w:w="3874" w:type="dxa"/>
          </w:tcPr>
          <w:p w14:paraId="603DDFEA" w14:textId="77777777" w:rsidR="00733C9A" w:rsidRPr="000A7851" w:rsidRDefault="00733C9A">
            <w:pPr>
              <w:pStyle w:val="Normalparatextnonumbers"/>
              <w:rPr>
                <w:rFonts w:cs="Times New Roman"/>
                <w:i/>
                <w:iCs/>
              </w:rPr>
            </w:pPr>
            <w:r w:rsidRPr="000A7851">
              <w:rPr>
                <w:i/>
                <w:iCs/>
              </w:rPr>
              <w:t>Taxation (Multinational—Global and Domestic Minimum Tax) Rules 2024</w:t>
            </w:r>
          </w:p>
        </w:tc>
      </w:tr>
      <w:tr w:rsidR="00EE006C" w:rsidRPr="00020288" w14:paraId="05D13E52" w14:textId="77777777">
        <w:tc>
          <w:tcPr>
            <w:tcW w:w="3776" w:type="dxa"/>
          </w:tcPr>
          <w:p w14:paraId="0CEEF995" w14:textId="77777777" w:rsidR="00EE006C" w:rsidRDefault="00EE006C">
            <w:pPr>
              <w:pStyle w:val="Normalparatextnonumbers"/>
            </w:pPr>
            <w:r>
              <w:t>UPE</w:t>
            </w:r>
          </w:p>
        </w:tc>
        <w:tc>
          <w:tcPr>
            <w:tcW w:w="3874" w:type="dxa"/>
          </w:tcPr>
          <w:p w14:paraId="46E978EF" w14:textId="11F2E130" w:rsidR="00EE006C" w:rsidRPr="002E77A0" w:rsidRDefault="00EE006C">
            <w:pPr>
              <w:pStyle w:val="Normalparatextnonumbers"/>
            </w:pPr>
            <w:r w:rsidRPr="002E77A0">
              <w:t>Ultimate Parent Entity</w:t>
            </w:r>
            <w:r w:rsidR="003821DD">
              <w:t xml:space="preserve"> a</w:t>
            </w:r>
            <w:r w:rsidR="006F2A0C">
              <w:rPr>
                <w:rStyle w:val="ui-provider"/>
              </w:rPr>
              <w:t>s defined in the GloBE Rules</w:t>
            </w:r>
          </w:p>
        </w:tc>
      </w:tr>
      <w:tr w:rsidR="00EE006C" w:rsidRPr="00020288" w14:paraId="1A2C2D2A" w14:textId="77777777">
        <w:tc>
          <w:tcPr>
            <w:tcW w:w="3776" w:type="dxa"/>
          </w:tcPr>
          <w:p w14:paraId="47508CEE" w14:textId="77777777" w:rsidR="00EE006C" w:rsidRDefault="00EE006C">
            <w:pPr>
              <w:pStyle w:val="Normalparatextnonumbers"/>
            </w:pPr>
            <w:r>
              <w:lastRenderedPageBreak/>
              <w:t>UTPR</w:t>
            </w:r>
          </w:p>
        </w:tc>
        <w:tc>
          <w:tcPr>
            <w:tcW w:w="3874" w:type="dxa"/>
          </w:tcPr>
          <w:p w14:paraId="783B68B0" w14:textId="36BA5D32" w:rsidR="00EE006C" w:rsidRDefault="00EE006C">
            <w:pPr>
              <w:pStyle w:val="Normalparatextnonumbers"/>
              <w:rPr>
                <w:i/>
                <w:iCs/>
              </w:rPr>
            </w:pPr>
            <w:r>
              <w:t>Undertaxed Profits Rules</w:t>
            </w:r>
            <w:r w:rsidR="001B7EDB">
              <w:t xml:space="preserve"> as defined in the GloBE Rules</w:t>
            </w:r>
          </w:p>
        </w:tc>
      </w:tr>
    </w:tbl>
    <w:p w14:paraId="721BB869" w14:textId="77777777" w:rsidR="00461873" w:rsidRDefault="00461873" w:rsidP="00CC1360">
      <w:pPr>
        <w:pStyle w:val="Heading1"/>
        <w:rPr>
          <w:rFonts w:hint="eastAsia"/>
        </w:rPr>
      </w:pPr>
      <w:bookmarkStart w:id="30" w:name="_Toc160721064"/>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0D44E092" w14:textId="77777777" w:rsidR="00461873" w:rsidRDefault="00461873">
      <w:pPr>
        <w:spacing w:before="0" w:after="160" w:line="259" w:lineRule="auto"/>
        <w:rPr>
          <w:rFonts w:ascii="Helvitica" w:eastAsiaTheme="majorEastAsia" w:hAnsi="Helvitica" w:cstheme="majorBidi" w:hint="eastAsia"/>
          <w:b/>
          <w:i/>
          <w:sz w:val="40"/>
          <w:szCs w:val="32"/>
        </w:rPr>
      </w:pPr>
      <w:r>
        <w:rPr>
          <w:rFonts w:hint="eastAsia"/>
        </w:rPr>
        <w:br w:type="page"/>
      </w:r>
    </w:p>
    <w:p w14:paraId="7C121BCC" w14:textId="576F2BD6" w:rsidR="00CC1360" w:rsidRPr="00020288" w:rsidRDefault="00CC1360" w:rsidP="00CC1360">
      <w:pPr>
        <w:pStyle w:val="Heading1"/>
        <w:rPr>
          <w:rFonts w:hint="eastAsia"/>
        </w:rPr>
      </w:pPr>
      <w:r>
        <w:lastRenderedPageBreak/>
        <w:t>Overview and context for</w:t>
      </w:r>
      <w:r w:rsidR="004130BE">
        <w:t xml:space="preserve"> Two</w:t>
      </w:r>
      <w:r w:rsidR="001F0DA9">
        <w:noBreakHyphen/>
      </w:r>
      <w:r w:rsidR="004130BE">
        <w:t>Pillar Solution</w:t>
      </w:r>
      <w:r w:rsidR="001F0DA9">
        <w:t xml:space="preserve"> in Australia</w:t>
      </w:r>
      <w:bookmarkEnd w:id="30"/>
      <w:r>
        <w:tab/>
        <w:t xml:space="preserve"> </w:t>
      </w:r>
    </w:p>
    <w:p w14:paraId="0B893598" w14:textId="27ECB371" w:rsidR="004E7CDC" w:rsidRDefault="004E7CDC" w:rsidP="0047497A">
      <w:pPr>
        <w:pStyle w:val="Normalparatextnonumbers"/>
      </w:pPr>
      <w:r w:rsidRPr="00837A88">
        <w:t xml:space="preserve">On 8 October 2021, </w:t>
      </w:r>
      <w:r w:rsidR="00C81751">
        <w:t>Australia and 135 other</w:t>
      </w:r>
      <w:r w:rsidRPr="00837A88">
        <w:t xml:space="preserve"> members of the OECD/G20 Inclusive Framework on Base Erosion and Profit Shifting (the Inclusive Framework) agreed to the ‘Statement on the Two-Pillar Solution to Address the Tax Challenges Arising from the Digitalisation of the Economy</w:t>
      </w:r>
      <w:r>
        <w:t xml:space="preserve">’ (the Two-Pillar </w:t>
      </w:r>
      <w:r w:rsidR="00A7797D">
        <w:t>S</w:t>
      </w:r>
      <w:r>
        <w:t>olution)</w:t>
      </w:r>
      <w:r w:rsidRPr="00CD745C">
        <w:t>.</w:t>
      </w:r>
      <w:r w:rsidRPr="00837A88">
        <w:t xml:space="preserve"> </w:t>
      </w:r>
      <w:r>
        <w:t>The Two</w:t>
      </w:r>
      <w:r>
        <w:noBreakHyphen/>
        <w:t xml:space="preserve">Pillar Solution seeks to reform the international taxation rules and ensure that MNEs pay a fair share of tax wherever they operate and generate profits in today’s digitalised and globalised world economy. </w:t>
      </w:r>
      <w:r w:rsidRPr="00837A88">
        <w:t>The Two</w:t>
      </w:r>
      <w:r>
        <w:t>-</w:t>
      </w:r>
      <w:r w:rsidRPr="00837A88">
        <w:t xml:space="preserve">Pillar Solution is a result of an OECD and G20 policy process with involvement </w:t>
      </w:r>
      <w:r>
        <w:t>of 140</w:t>
      </w:r>
      <w:r w:rsidRPr="00837A88">
        <w:t xml:space="preserve"> countries. </w:t>
      </w:r>
    </w:p>
    <w:p w14:paraId="29D9C2BD" w14:textId="233970CD" w:rsidR="004E7CDC" w:rsidRDefault="004E7CDC" w:rsidP="0047497A">
      <w:pPr>
        <w:pStyle w:val="Normalparatextnonumbers"/>
      </w:pPr>
      <w:r w:rsidRPr="00837A88">
        <w:t xml:space="preserve">The Two-Pillar </w:t>
      </w:r>
      <w:r>
        <w:t>S</w:t>
      </w:r>
      <w:r w:rsidRPr="00837A88">
        <w:t xml:space="preserve">olution </w:t>
      </w:r>
      <w:r>
        <w:t xml:space="preserve">is intended to </w:t>
      </w:r>
      <w:r w:rsidRPr="00837A88">
        <w:t xml:space="preserve">be achieved through a series of tax reforms, including through the ratification of multilateral conventions </w:t>
      </w:r>
      <w:r w:rsidR="00A7797D">
        <w:t>and</w:t>
      </w:r>
      <w:r w:rsidRPr="00837A88">
        <w:t xml:space="preserve"> instruments. Different reforms are scheduled on different timeframes but are generally to be implemented </w:t>
      </w:r>
      <w:r>
        <w:t xml:space="preserve">as a coordinated approach </w:t>
      </w:r>
      <w:r w:rsidRPr="00837A88">
        <w:t>across jurisdictions</w:t>
      </w:r>
      <w:r>
        <w:t>, with the earliest reforms taking effect from 1</w:t>
      </w:r>
      <w:r w:rsidR="00CE33C0">
        <w:t> </w:t>
      </w:r>
      <w:r>
        <w:t>January 2024</w:t>
      </w:r>
      <w:r w:rsidRPr="00837A88">
        <w:t xml:space="preserve">. </w:t>
      </w:r>
    </w:p>
    <w:p w14:paraId="2210A12E" w14:textId="609D85D5" w:rsidR="004E7CDC" w:rsidRDefault="004E7CDC" w:rsidP="0047497A">
      <w:pPr>
        <w:pStyle w:val="Normalparatextnonumbers"/>
      </w:pPr>
      <w:r>
        <w:t xml:space="preserve">The Two-Pillar Solution is comprised of Pillar 1 and Pillar 2. </w:t>
      </w:r>
      <w:r w:rsidRPr="0079522D">
        <w:t>Pillar 1</w:t>
      </w:r>
      <w:r>
        <w:t xml:space="preserve"> aims to ensure a fairer distribution of profits and </w:t>
      </w:r>
      <w:r w:rsidRPr="0079522D">
        <w:t xml:space="preserve">taxing rights </w:t>
      </w:r>
      <w:r>
        <w:t xml:space="preserve">among countries with respect to certain large MNEs. The GloBE </w:t>
      </w:r>
      <w:r w:rsidR="000F5325">
        <w:t>R</w:t>
      </w:r>
      <w:r>
        <w:t xml:space="preserve">ules under Pillar 2 </w:t>
      </w:r>
      <w:r w:rsidRPr="00837A88">
        <w:t xml:space="preserve">ensure that </w:t>
      </w:r>
      <w:r>
        <w:t>in</w:t>
      </w:r>
      <w:r w:rsidR="000F5325">
        <w:noBreakHyphen/>
      </w:r>
      <w:r>
        <w:t xml:space="preserve">scope </w:t>
      </w:r>
      <w:r w:rsidRPr="00837A88">
        <w:t xml:space="preserve">MNEs will be subject to a </w:t>
      </w:r>
      <w:r>
        <w:t xml:space="preserve">global </w:t>
      </w:r>
      <w:r w:rsidRPr="00837A88">
        <w:t>minimum tax rate of 15</w:t>
      </w:r>
      <w:r>
        <w:t> per cent</w:t>
      </w:r>
      <w:r w:rsidRPr="00837A88">
        <w:t>.</w:t>
      </w:r>
      <w:r>
        <w:t xml:space="preserve"> This is achieved through a set of rules which identify low</w:t>
      </w:r>
      <w:r>
        <w:noBreakHyphen/>
        <w:t xml:space="preserve">taxed pools of income within a MNE Group and which allow another jurisdiction to claim taxing rights over that income. </w:t>
      </w:r>
    </w:p>
    <w:p w14:paraId="561866DB" w14:textId="77777777" w:rsidR="00F40E55" w:rsidRDefault="00F40E55" w:rsidP="00F40E55">
      <w:pPr>
        <w:pStyle w:val="Normalparatextnonumbers"/>
      </w:pPr>
      <w:r>
        <w:t xml:space="preserve">The Australian Government announced its intention to implement key aspects of Pillar 2 in the 2023-24 Budget, as part of its continuing efforts to ensure multinationals pay their fair share of tax. </w:t>
      </w:r>
    </w:p>
    <w:p w14:paraId="4E4298E8" w14:textId="77777777" w:rsidR="004752B9" w:rsidRPr="00546592" w:rsidRDefault="004752B9" w:rsidP="0047497A">
      <w:pPr>
        <w:pStyle w:val="Normalparatextnonumbers"/>
      </w:pPr>
      <w:r w:rsidRPr="00546592">
        <w:t xml:space="preserve">The charging provisions in the GloBE Rules are composed of the IIR and the UTPR. </w:t>
      </w:r>
    </w:p>
    <w:p w14:paraId="3CDFC51E" w14:textId="0D4367AA" w:rsidR="004A7FBB" w:rsidRPr="00546592" w:rsidRDefault="0085520F" w:rsidP="0047497A">
      <w:pPr>
        <w:pStyle w:val="Normalparatextnonumbers"/>
      </w:pPr>
      <w:r>
        <w:t>The Assessment</w:t>
      </w:r>
      <w:r w:rsidR="004A7FBB" w:rsidRPr="004A7FBB">
        <w:t xml:space="preserve"> </w:t>
      </w:r>
      <w:r w:rsidR="00D64FF1">
        <w:t>Bill</w:t>
      </w:r>
      <w:r w:rsidR="004A7FBB" w:rsidRPr="004A7FBB">
        <w:t xml:space="preserve"> also implements a D</w:t>
      </w:r>
      <w:r w:rsidR="00CF0B07">
        <w:t>omestic top-up tax</w:t>
      </w:r>
      <w:r w:rsidR="004A7FBB" w:rsidRPr="004A7FBB">
        <w:t xml:space="preserve"> in respect of Australian entities that are </w:t>
      </w:r>
      <w:r w:rsidR="00BF0005">
        <w:t>subject to an ETR</w:t>
      </w:r>
      <w:r w:rsidR="004A7FBB" w:rsidRPr="004A7FBB">
        <w:t xml:space="preserve"> </w:t>
      </w:r>
      <w:r w:rsidR="00CF0B07">
        <w:t>below</w:t>
      </w:r>
      <w:r w:rsidR="004A7FBB" w:rsidRPr="004A7FBB">
        <w:t xml:space="preserve"> the 15 per cent minimum rate.</w:t>
      </w:r>
    </w:p>
    <w:p w14:paraId="03CC6924" w14:textId="2E6445EB" w:rsidR="004E7CDC" w:rsidRDefault="004E7CDC" w:rsidP="0047497A">
      <w:pPr>
        <w:pStyle w:val="Normalparatextnonumbers"/>
      </w:pPr>
      <w:r>
        <w:t xml:space="preserve">The IIR applies by allocating the </w:t>
      </w:r>
      <w:r w:rsidR="00A7797D">
        <w:t>t</w:t>
      </w:r>
      <w:r>
        <w:t>op-</w:t>
      </w:r>
      <w:r w:rsidR="00A7797D">
        <w:t>u</w:t>
      </w:r>
      <w:r>
        <w:t xml:space="preserve">p </w:t>
      </w:r>
      <w:r w:rsidR="00A7797D">
        <w:t>t</w:t>
      </w:r>
      <w:r>
        <w:t xml:space="preserve">ax amount on the Parent Entity </w:t>
      </w:r>
      <w:r w:rsidR="00A7797D">
        <w:t>generally</w:t>
      </w:r>
      <w:r>
        <w:t xml:space="preserve"> closest to the top of the corporate structure (the ‘top-down’ approach). The </w:t>
      </w:r>
      <w:r w:rsidR="00A7797D">
        <w:t>t</w:t>
      </w:r>
      <w:r>
        <w:t>op-</w:t>
      </w:r>
      <w:r w:rsidR="00A7797D">
        <w:t>u</w:t>
      </w:r>
      <w:r>
        <w:t xml:space="preserve">p </w:t>
      </w:r>
      <w:r w:rsidR="00A7797D">
        <w:t>t</w:t>
      </w:r>
      <w:r>
        <w:t xml:space="preserve">ax amount relates to LTCEs that are subject to an ETR below the 15 per cent minimum rate in that jurisdiction. </w:t>
      </w:r>
    </w:p>
    <w:p w14:paraId="53EA3DDA" w14:textId="3850B2FE" w:rsidR="004E7CDC" w:rsidRPr="00502F95" w:rsidRDefault="004E7CDC" w:rsidP="0047497A">
      <w:pPr>
        <w:pStyle w:val="Normalparatextnonumbers"/>
      </w:pPr>
      <w:r w:rsidRPr="00502F95">
        <w:t xml:space="preserve">The UTPR serves as a backstop to the IIR. It </w:t>
      </w:r>
      <w:r w:rsidR="00A7797D">
        <w:t>permits other jurisdictions to impose top</w:t>
      </w:r>
      <w:r w:rsidR="00602A7D">
        <w:noBreakHyphen/>
      </w:r>
      <w:r w:rsidR="00A7797D">
        <w:t xml:space="preserve">up tax (by </w:t>
      </w:r>
      <w:r w:rsidRPr="00502F95">
        <w:t>den</w:t>
      </w:r>
      <w:r w:rsidR="00A7797D">
        <w:t>ying</w:t>
      </w:r>
      <w:r w:rsidRPr="00502F95">
        <w:t xml:space="preserve"> deductions or an equivalent adjustment) </w:t>
      </w:r>
      <w:r w:rsidR="00A7797D">
        <w:t>on</w:t>
      </w:r>
      <w:r w:rsidRPr="00502F95">
        <w:t xml:space="preserve"> certain </w:t>
      </w:r>
      <w:r>
        <w:t>Constituent Entities</w:t>
      </w:r>
      <w:r w:rsidRPr="00502F95">
        <w:t xml:space="preserve"> to the extent that an LTCE </w:t>
      </w:r>
      <w:r w:rsidR="00A7797D">
        <w:t xml:space="preserve">in the MNE Group </w:t>
      </w:r>
      <w:r w:rsidRPr="00502F95">
        <w:t>is not subject to tax under an IIR.</w:t>
      </w:r>
    </w:p>
    <w:p w14:paraId="5C53C1BD" w14:textId="38EB0711" w:rsidR="004E7CDC" w:rsidRPr="00502F95" w:rsidRDefault="004E7CDC" w:rsidP="0047497A">
      <w:pPr>
        <w:pStyle w:val="Normalparatextnonumbers"/>
      </w:pPr>
      <w:r w:rsidRPr="00502F95">
        <w:t>The two sets of rules provide a systematic solution to ensure all in</w:t>
      </w:r>
      <w:r w:rsidR="00A7797D">
        <w:t>-</w:t>
      </w:r>
      <w:r w:rsidRPr="00502F95">
        <w:t>scope MNE Groups are subject to a minimum of 15 per cent effective tax rate in the jurisdictions in which they operate.</w:t>
      </w:r>
    </w:p>
    <w:p w14:paraId="3A88F9C2" w14:textId="2D1FF477" w:rsidR="00DB2E52" w:rsidRPr="00BE1F1F" w:rsidRDefault="00A7797D" w:rsidP="0047497A">
      <w:pPr>
        <w:pStyle w:val="Normalparatextnonumbers"/>
      </w:pPr>
      <w:r w:rsidRPr="00BE1F1F">
        <w:lastRenderedPageBreak/>
        <w:t>These t</w:t>
      </w:r>
      <w:r w:rsidR="00DB2E52" w:rsidRPr="00BE1F1F">
        <w:t xml:space="preserve">hree Bills form part of a set of legislation required to implement the </w:t>
      </w:r>
      <w:r w:rsidRPr="00BE1F1F">
        <w:t xml:space="preserve">GloBE Rules and a DMT </w:t>
      </w:r>
      <w:r w:rsidR="00DB2E52" w:rsidRPr="00BE1F1F">
        <w:t>in Australia:</w:t>
      </w:r>
    </w:p>
    <w:p w14:paraId="33E26524" w14:textId="77777777" w:rsidR="00DB2E52" w:rsidRPr="00BE1F1F" w:rsidRDefault="00DB2E52" w:rsidP="00DB2E52">
      <w:pPr>
        <w:pStyle w:val="Dotpoint1"/>
        <w:ind w:left="1418" w:hanging="709"/>
        <w:rPr>
          <w:rStyle w:val="ui-provider"/>
        </w:rPr>
      </w:pPr>
      <w:r w:rsidRPr="00BE1F1F">
        <w:rPr>
          <w:rStyle w:val="ui-provider"/>
        </w:rPr>
        <w:t xml:space="preserve">Imposition Bill: </w:t>
      </w:r>
      <w:r w:rsidRPr="00BE1F1F">
        <w:rPr>
          <w:rStyle w:val="ui-provider"/>
          <w:i/>
        </w:rPr>
        <w:t>Taxation (Multinational—Global and Domestic Minimum Tax) Imposition Bill 2024;</w:t>
      </w:r>
    </w:p>
    <w:p w14:paraId="0F4EE282" w14:textId="77777777" w:rsidR="00DB2E52" w:rsidRPr="00BE1F1F" w:rsidRDefault="00DB2E52" w:rsidP="00DB2E52">
      <w:pPr>
        <w:pStyle w:val="Dotpoint1"/>
        <w:ind w:left="1418" w:hanging="709"/>
        <w:rPr>
          <w:rStyle w:val="ui-provider"/>
        </w:rPr>
      </w:pPr>
      <w:r w:rsidRPr="00BE1F1F">
        <w:rPr>
          <w:rStyle w:val="ui-provider"/>
        </w:rPr>
        <w:t xml:space="preserve">Assessment Bill: </w:t>
      </w:r>
      <w:r w:rsidRPr="00BE1F1F">
        <w:rPr>
          <w:rStyle w:val="ui-provider"/>
          <w:i/>
        </w:rPr>
        <w:t>Taxation (Multinational—Global and Domestic Minimum Tax) Bill 2024;</w:t>
      </w:r>
      <w:r w:rsidRPr="00BE1F1F">
        <w:rPr>
          <w:rStyle w:val="ui-provider"/>
        </w:rPr>
        <w:t xml:space="preserve"> and</w:t>
      </w:r>
    </w:p>
    <w:p w14:paraId="60545331" w14:textId="75FCB3A0" w:rsidR="00DB2E52" w:rsidRPr="00BE1F1F" w:rsidRDefault="00DB2E52" w:rsidP="00DB2E52">
      <w:pPr>
        <w:pStyle w:val="Dotpoint1"/>
        <w:ind w:left="1418" w:hanging="709"/>
      </w:pPr>
      <w:r w:rsidRPr="00BE1F1F">
        <w:rPr>
          <w:rStyle w:val="ui-provider"/>
        </w:rPr>
        <w:t xml:space="preserve">Consequential Bill: </w:t>
      </w:r>
      <w:r w:rsidRPr="00BE1F1F">
        <w:rPr>
          <w:rStyle w:val="ui-provider"/>
          <w:i/>
        </w:rPr>
        <w:t>Treasury Laws Amendment (Multinational—Global and Domestic Minimum Tax) (Consequential) Bill 2024.</w:t>
      </w:r>
      <w:r w:rsidRPr="00BE1F1F">
        <w:rPr>
          <w:rStyle w:val="ui-provider"/>
        </w:rPr>
        <w:t> </w:t>
      </w:r>
    </w:p>
    <w:p w14:paraId="1D80C0FC" w14:textId="36E794CE" w:rsidR="00DB2E52" w:rsidRPr="00BE1F1F" w:rsidRDefault="00DB2E52" w:rsidP="0047497A">
      <w:pPr>
        <w:pStyle w:val="Normalparatextnonumbers"/>
      </w:pPr>
      <w:r w:rsidRPr="00BE1F1F">
        <w:t xml:space="preserve">The Imposition Bill </w:t>
      </w:r>
      <w:r w:rsidR="00004CDB" w:rsidRPr="00BE1F1F">
        <w:t>imposes top-up tax</w:t>
      </w:r>
      <w:r w:rsidR="00F8241D" w:rsidRPr="00BE1F1F">
        <w:t>, namely</w:t>
      </w:r>
      <w:r w:rsidR="00B34864" w:rsidRPr="00BE1F1F">
        <w:t xml:space="preserve"> the </w:t>
      </w:r>
      <w:r w:rsidR="0067147C" w:rsidRPr="00BE1F1F">
        <w:t>Domestic top</w:t>
      </w:r>
      <w:r w:rsidR="00B34864" w:rsidRPr="00BE1F1F">
        <w:t xml:space="preserve">-up </w:t>
      </w:r>
      <w:r w:rsidR="0067147C" w:rsidRPr="00BE1F1F">
        <w:t>tax</w:t>
      </w:r>
      <w:r w:rsidR="00B34864" w:rsidRPr="00BE1F1F">
        <w:t xml:space="preserve">, the IIR </w:t>
      </w:r>
      <w:r w:rsidR="0067147C" w:rsidRPr="00BE1F1F">
        <w:t>top</w:t>
      </w:r>
      <w:r w:rsidR="00100DD7">
        <w:noBreakHyphen/>
      </w:r>
      <w:r w:rsidR="00B34864" w:rsidRPr="00BE1F1F">
        <w:t xml:space="preserve">up </w:t>
      </w:r>
      <w:r w:rsidR="0067147C" w:rsidRPr="00BE1F1F">
        <w:t>tax</w:t>
      </w:r>
      <w:r w:rsidR="00B34864" w:rsidRPr="00BE1F1F">
        <w:t xml:space="preserve"> and the UTPR </w:t>
      </w:r>
      <w:r w:rsidR="0067147C" w:rsidRPr="00BE1F1F">
        <w:t>t</w:t>
      </w:r>
      <w:r w:rsidR="00B34864" w:rsidRPr="00BE1F1F">
        <w:t xml:space="preserve">op-up </w:t>
      </w:r>
      <w:r w:rsidR="0067147C" w:rsidRPr="00BE1F1F">
        <w:t>t</w:t>
      </w:r>
      <w:r w:rsidR="00B34864" w:rsidRPr="00BE1F1F">
        <w:t xml:space="preserve">ax. </w:t>
      </w:r>
    </w:p>
    <w:p w14:paraId="12846458" w14:textId="6CF395AC" w:rsidR="00DB2E52" w:rsidRPr="00BE1F1F" w:rsidRDefault="00DB2E52" w:rsidP="0047497A">
      <w:pPr>
        <w:pStyle w:val="Normalparatextnonumbers"/>
      </w:pPr>
      <w:r w:rsidRPr="00BE1F1F">
        <w:t xml:space="preserve">The Assessment Bill implements the framework for imposition of top-up tax for the IIR, UTPR and the DMT consistent with the GloBE Rules.   </w:t>
      </w:r>
    </w:p>
    <w:p w14:paraId="1E0860F6" w14:textId="0FACDC86" w:rsidR="00DB2E52" w:rsidRPr="00BE1F1F" w:rsidRDefault="00DB2E52" w:rsidP="0047497A">
      <w:pPr>
        <w:pStyle w:val="Normalparatextnonumbers"/>
      </w:pPr>
      <w:r w:rsidRPr="00BE1F1F">
        <w:t xml:space="preserve">The Consequential Bill contains consequential and miscellaneous provisions necessary for the administration of the </w:t>
      </w:r>
      <w:r w:rsidR="002129F5" w:rsidRPr="00BE1F1F">
        <w:t>top-up tax</w:t>
      </w:r>
      <w:r w:rsidRPr="00BE1F1F">
        <w:t xml:space="preserve"> in respect of </w:t>
      </w:r>
      <w:r w:rsidR="009846DC">
        <w:t xml:space="preserve">Applicable </w:t>
      </w:r>
      <w:r w:rsidRPr="00BE1F1F">
        <w:t>MNE Groups.</w:t>
      </w:r>
    </w:p>
    <w:p w14:paraId="37AEAC05" w14:textId="77777777" w:rsidR="00D26AA0" w:rsidRDefault="00D26AA0" w:rsidP="0047497A">
      <w:pPr>
        <w:pStyle w:val="Normalparatextnonumbers"/>
      </w:pPr>
      <w:r w:rsidRPr="00BE1F1F">
        <w:t>The OECD published the Safe Harbours Rules on 20 December 2022, which outlined a common understanding on transitional penalty relief for implementing jurisdictions. This included that tax administrations should consider not applying penalties or sanctions in connection with the filing of the GloBE Information Return during a Transition Period where a tax administration considers that an MNE has taken “reasonable measures” to ensure the correct application of the GloBE Rules. The approach also contemplated that in many cases jurisdictions already provide, as a matter of law or administrative practice, for penalty relief in accordance with the common understanding.</w:t>
      </w:r>
    </w:p>
    <w:p w14:paraId="05C4A9D7" w14:textId="15713BC8" w:rsidR="00C50BFE" w:rsidRDefault="00754596" w:rsidP="0047497A">
      <w:pPr>
        <w:pStyle w:val="Normalparatextnonumbers"/>
      </w:pPr>
      <w:r>
        <w:t>Domestic</w:t>
      </w:r>
      <w:r w:rsidR="00934B38">
        <w:t xml:space="preserve"> </w:t>
      </w:r>
      <w:r w:rsidR="00BE1F1F">
        <w:t>t</w:t>
      </w:r>
      <w:r>
        <w:t xml:space="preserve">op-up </w:t>
      </w:r>
      <w:r w:rsidR="00BE1F1F">
        <w:t>t</w:t>
      </w:r>
      <w:r>
        <w:t>ax</w:t>
      </w:r>
      <w:r w:rsidR="009F2AA6">
        <w:t xml:space="preserve"> and IIR</w:t>
      </w:r>
      <w:r w:rsidR="00EA0F09">
        <w:t xml:space="preserve"> </w:t>
      </w:r>
      <w:r w:rsidR="00BE1F1F">
        <w:t>t</w:t>
      </w:r>
      <w:r w:rsidR="00EA0F09">
        <w:t xml:space="preserve">op-up </w:t>
      </w:r>
      <w:r w:rsidR="00BE1F1F">
        <w:t>t</w:t>
      </w:r>
      <w:r w:rsidR="00EA0F09">
        <w:t xml:space="preserve">ax apply </w:t>
      </w:r>
      <w:r w:rsidR="00934B38">
        <w:t xml:space="preserve">for Fiscal Years beginning after </w:t>
      </w:r>
      <w:r w:rsidR="00635644">
        <w:t>1</w:t>
      </w:r>
      <w:r w:rsidR="00934B38">
        <w:t> January</w:t>
      </w:r>
      <w:r w:rsidR="00635644">
        <w:t xml:space="preserve"> 2024. </w:t>
      </w:r>
      <w:r w:rsidR="00BD010A" w:rsidRPr="00502F95">
        <w:t xml:space="preserve">UTPR </w:t>
      </w:r>
      <w:r w:rsidR="00BE1F1F">
        <w:t>t</w:t>
      </w:r>
      <w:r w:rsidR="00934B38">
        <w:t xml:space="preserve">op-up </w:t>
      </w:r>
      <w:r w:rsidR="00BE1F1F">
        <w:t>t</w:t>
      </w:r>
      <w:r w:rsidR="00934B38">
        <w:t>ax appl</w:t>
      </w:r>
      <w:r w:rsidR="00022F00">
        <w:t>ies</w:t>
      </w:r>
      <w:r w:rsidR="00934B38">
        <w:t xml:space="preserve"> for Fiscal Years beginning after 1 January 2025</w:t>
      </w:r>
      <w:r w:rsidR="00BD010A" w:rsidRPr="00502F95">
        <w:t>.</w:t>
      </w:r>
    </w:p>
    <w:p w14:paraId="7D4A286C" w14:textId="77777777" w:rsidR="00C01604" w:rsidRDefault="00C01604" w:rsidP="00CC1360">
      <w:pPr>
        <w:pStyle w:val="Normalparatextnonumbers"/>
      </w:pPr>
    </w:p>
    <w:p w14:paraId="2A02424F" w14:textId="77777777" w:rsidR="00C01604" w:rsidRPr="00020288" w:rsidRDefault="00C01604" w:rsidP="00CC1360">
      <w:pPr>
        <w:pStyle w:val="Normalparatextnonumbers"/>
      </w:pPr>
    </w:p>
    <w:p w14:paraId="34032F6C" w14:textId="77777777" w:rsidR="00862258" w:rsidRPr="00020288" w:rsidRDefault="00862258" w:rsidP="00873094">
      <w:pPr>
        <w:spacing w:after="0" w:line="360" w:lineRule="auto"/>
        <w:contextualSpacing/>
        <w:sectPr w:rsidR="00862258" w:rsidRPr="00020288" w:rsidSect="00DD6CB7">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pgNumType w:start="1"/>
          <w:cols w:space="708"/>
          <w:titlePg/>
          <w:docGrid w:linePitch="360"/>
        </w:sectPr>
      </w:pPr>
    </w:p>
    <w:p w14:paraId="5FD12D54" w14:textId="2E252A6D" w:rsidR="00BB7BD8" w:rsidRPr="0073326A" w:rsidRDefault="00BB7BD8" w:rsidP="00BB7BD8">
      <w:pPr>
        <w:pStyle w:val="Chapterheading"/>
        <w:rPr>
          <w:rFonts w:hint="eastAsia"/>
        </w:rPr>
      </w:pPr>
      <w:bookmarkStart w:id="41" w:name="_Toc160721065"/>
      <w:r w:rsidRPr="00FE765E">
        <w:lastRenderedPageBreak/>
        <w:t xml:space="preserve">Taxation (Multinational—Global and Domestic Minimum Tax) </w:t>
      </w:r>
      <w:r>
        <w:t xml:space="preserve">Imposition </w:t>
      </w:r>
      <w:r w:rsidRPr="00FE765E">
        <w:t>Bill 2024</w:t>
      </w:r>
      <w:bookmarkEnd w:id="41"/>
      <w:r>
        <w:t xml:space="preserve"> </w:t>
      </w:r>
    </w:p>
    <w:p w14:paraId="07199E37" w14:textId="77777777" w:rsidR="00862258" w:rsidRPr="00020288" w:rsidRDefault="00862258" w:rsidP="005D0844">
      <w:pPr>
        <w:pStyle w:val="Heading2"/>
        <w:rPr>
          <w:rFonts w:hint="eastAsia"/>
        </w:rPr>
      </w:pPr>
      <w:r w:rsidRPr="00020288">
        <w:t xml:space="preserve">Outline </w:t>
      </w:r>
      <w:r w:rsidRPr="005D0844">
        <w:t>of</w:t>
      </w:r>
      <w:r w:rsidRPr="00020288">
        <w:t xml:space="preserve"> chapter</w:t>
      </w:r>
    </w:p>
    <w:p w14:paraId="7CD76983" w14:textId="2AED1C3C" w:rsidR="00862258" w:rsidRPr="000E521B" w:rsidRDefault="004C7398" w:rsidP="000E521B">
      <w:pPr>
        <w:pStyle w:val="Normalparatextwithnumbers"/>
      </w:pPr>
      <w:r>
        <w:t xml:space="preserve">The </w:t>
      </w:r>
      <w:r w:rsidR="00986489">
        <w:t xml:space="preserve">Chapter explains the operation of the </w:t>
      </w:r>
      <w:r w:rsidR="00D05451" w:rsidRPr="00D05451">
        <w:t xml:space="preserve">Taxation (Multinational—Global and Domestic Minimum Tax) Imposition Bill 2024 </w:t>
      </w:r>
      <w:r w:rsidR="00D05451">
        <w:t>(</w:t>
      </w:r>
      <w:r w:rsidR="00986489">
        <w:t>Imposition Bill</w:t>
      </w:r>
      <w:r w:rsidR="009B3B79">
        <w:t>)</w:t>
      </w:r>
      <w:r w:rsidR="00E50296">
        <w:t xml:space="preserve">. </w:t>
      </w:r>
    </w:p>
    <w:p w14:paraId="7E7F396F" w14:textId="77777777" w:rsidR="00862258" w:rsidRPr="00020288" w:rsidRDefault="00862258" w:rsidP="005D0844">
      <w:pPr>
        <w:pStyle w:val="Heading2"/>
        <w:rPr>
          <w:rFonts w:hint="eastAsia"/>
        </w:rPr>
      </w:pPr>
      <w:r w:rsidRPr="00020288">
        <w:t xml:space="preserve">Summary of </w:t>
      </w:r>
      <w:r w:rsidRPr="005D0844">
        <w:t>new</w:t>
      </w:r>
      <w:r w:rsidRPr="00020288">
        <w:t xml:space="preserve"> law</w:t>
      </w:r>
    </w:p>
    <w:p w14:paraId="4EE853CF" w14:textId="14F94917" w:rsidR="00570CC5" w:rsidRDefault="008459CA" w:rsidP="00862258">
      <w:pPr>
        <w:pStyle w:val="Normalparatextwithnumbers"/>
        <w:numPr>
          <w:ilvl w:val="1"/>
          <w:numId w:val="3"/>
        </w:numPr>
      </w:pPr>
      <w:r>
        <w:t xml:space="preserve">The Imposition Bill </w:t>
      </w:r>
      <w:r w:rsidR="00104F85">
        <w:t>is a taxation bill</w:t>
      </w:r>
      <w:r w:rsidR="00570CC5">
        <w:t xml:space="preserve"> which imposes a global and domestic minimum tax (in th</w:t>
      </w:r>
      <w:r w:rsidR="000439C9">
        <w:t xml:space="preserve">ese explanatory materials </w:t>
      </w:r>
      <w:r w:rsidR="00570CC5">
        <w:t>referred to as top-up tax).</w:t>
      </w:r>
    </w:p>
    <w:p w14:paraId="23404077" w14:textId="77777777" w:rsidR="00862258" w:rsidRPr="00020288" w:rsidRDefault="00862258" w:rsidP="00862258">
      <w:pPr>
        <w:pStyle w:val="Heading2"/>
        <w:numPr>
          <w:ilvl w:val="1"/>
          <w:numId w:val="2"/>
        </w:numPr>
        <w:tabs>
          <w:tab w:val="num" w:pos="567"/>
        </w:tabs>
        <w:ind w:left="567" w:hanging="567"/>
        <w:rPr>
          <w:rFonts w:hint="eastAsia"/>
        </w:rPr>
      </w:pPr>
      <w:r w:rsidRPr="00020288">
        <w:t>Detailed explanation of new law</w:t>
      </w:r>
    </w:p>
    <w:p w14:paraId="0DCD5A04" w14:textId="30222077" w:rsidR="001A2A92" w:rsidRDefault="001A2A92" w:rsidP="00862258">
      <w:pPr>
        <w:pStyle w:val="Normalparatextwithnumbers"/>
        <w:numPr>
          <w:ilvl w:val="1"/>
          <w:numId w:val="3"/>
        </w:numPr>
      </w:pPr>
      <w:r>
        <w:t>To comply with section 55 of the Constitution</w:t>
      </w:r>
      <w:r w:rsidR="00F801F1">
        <w:t xml:space="preserve"> the Imposition bill </w:t>
      </w:r>
      <w:r w:rsidR="00F801F1" w:rsidRPr="00F801F1">
        <w:t>deal</w:t>
      </w:r>
      <w:r w:rsidR="00F801F1">
        <w:t xml:space="preserve">s </w:t>
      </w:r>
      <w:r w:rsidR="00F801F1" w:rsidRPr="00F801F1">
        <w:t xml:space="preserve">only with the imposition of </w:t>
      </w:r>
      <w:r w:rsidR="00606D62">
        <w:t xml:space="preserve">top-up </w:t>
      </w:r>
      <w:r w:rsidR="00F801F1" w:rsidRPr="00F801F1">
        <w:t>tax</w:t>
      </w:r>
      <w:r w:rsidR="00F801F1">
        <w:t xml:space="preserve">. </w:t>
      </w:r>
    </w:p>
    <w:p w14:paraId="72F5CB53" w14:textId="40BA73CE" w:rsidR="00862258" w:rsidRPr="00020288" w:rsidRDefault="00F13E98" w:rsidP="00862258">
      <w:pPr>
        <w:pStyle w:val="Normalparatextwithnumbers"/>
        <w:numPr>
          <w:ilvl w:val="1"/>
          <w:numId w:val="35"/>
        </w:numPr>
      </w:pPr>
      <w:r>
        <w:t>The top-up tax</w:t>
      </w:r>
      <w:r w:rsidR="00583A5C">
        <w:t xml:space="preserve"> is as follows</w:t>
      </w:r>
      <w:r>
        <w:t>:</w:t>
      </w:r>
    </w:p>
    <w:p w14:paraId="0FE0C5CA" w14:textId="1E6D16EF" w:rsidR="0096044C" w:rsidRDefault="00AC4BF2" w:rsidP="00F13E98">
      <w:pPr>
        <w:pStyle w:val="Dotpoint1"/>
      </w:pPr>
      <w:r>
        <w:t xml:space="preserve">Tax payable in accordance with subsection 7(1) of the </w:t>
      </w:r>
      <w:r w:rsidR="008D37DE">
        <w:t>Assessment Bill</w:t>
      </w:r>
      <w:r w:rsidR="00CB563B" w:rsidRPr="0015736F">
        <w:rPr>
          <w:b/>
          <w:bCs/>
        </w:rPr>
        <w:t>(D</w:t>
      </w:r>
      <w:r w:rsidR="00606D62">
        <w:rPr>
          <w:b/>
          <w:bCs/>
        </w:rPr>
        <w:t>omestic</w:t>
      </w:r>
      <w:r w:rsidR="00CB563B" w:rsidRPr="0015736F">
        <w:rPr>
          <w:b/>
          <w:bCs/>
        </w:rPr>
        <w:t xml:space="preserve"> </w:t>
      </w:r>
      <w:r w:rsidR="00F3794A">
        <w:rPr>
          <w:b/>
          <w:bCs/>
        </w:rPr>
        <w:t>t</w:t>
      </w:r>
      <w:r w:rsidR="00CB563B" w:rsidRPr="0015736F">
        <w:rPr>
          <w:b/>
          <w:bCs/>
        </w:rPr>
        <w:t>op</w:t>
      </w:r>
      <w:r w:rsidR="00D20183">
        <w:rPr>
          <w:b/>
          <w:bCs/>
        </w:rPr>
        <w:noBreakHyphen/>
      </w:r>
      <w:r w:rsidR="00CB563B" w:rsidRPr="0015736F">
        <w:rPr>
          <w:b/>
          <w:bCs/>
        </w:rPr>
        <w:t xml:space="preserve">up </w:t>
      </w:r>
      <w:r w:rsidR="00F3794A">
        <w:rPr>
          <w:b/>
          <w:bCs/>
        </w:rPr>
        <w:t>t</w:t>
      </w:r>
      <w:r w:rsidR="00CB563B" w:rsidRPr="0015736F">
        <w:rPr>
          <w:b/>
          <w:bCs/>
        </w:rPr>
        <w:t>ax</w:t>
      </w:r>
      <w:r w:rsidR="00CB563B">
        <w:t xml:space="preserve">) </w:t>
      </w:r>
      <w:r>
        <w:t>is imposed</w:t>
      </w:r>
    </w:p>
    <w:p w14:paraId="3D108A3C" w14:textId="5DE36ADC" w:rsidR="0096044C" w:rsidRDefault="00CB563B" w:rsidP="00F13E98">
      <w:pPr>
        <w:pStyle w:val="Dotpoint1"/>
      </w:pPr>
      <w:r>
        <w:t xml:space="preserve">Tax payable in accordance with subsection </w:t>
      </w:r>
      <w:r w:rsidR="00B11E74">
        <w:t>4</w:t>
      </w:r>
      <w:r>
        <w:t xml:space="preserve">(1) of the </w:t>
      </w:r>
      <w:r w:rsidR="008D37DE">
        <w:t>Assessment Bill</w:t>
      </w:r>
      <w:r w:rsidR="00D316F7">
        <w:t xml:space="preserve"> </w:t>
      </w:r>
      <w:r>
        <w:t>(</w:t>
      </w:r>
      <w:r w:rsidR="0096044C" w:rsidRPr="0015736F">
        <w:rPr>
          <w:b/>
          <w:bCs/>
        </w:rPr>
        <w:t xml:space="preserve">IIR </w:t>
      </w:r>
      <w:r w:rsidR="00F3794A">
        <w:rPr>
          <w:b/>
          <w:bCs/>
        </w:rPr>
        <w:t>t</w:t>
      </w:r>
      <w:r w:rsidR="0096044C" w:rsidRPr="0015736F">
        <w:rPr>
          <w:b/>
          <w:bCs/>
        </w:rPr>
        <w:t>op</w:t>
      </w:r>
      <w:r w:rsidR="0031794B">
        <w:rPr>
          <w:b/>
          <w:bCs/>
        </w:rPr>
        <w:noBreakHyphen/>
      </w:r>
      <w:r w:rsidR="0096044C" w:rsidRPr="0015736F">
        <w:rPr>
          <w:b/>
          <w:bCs/>
        </w:rPr>
        <w:t xml:space="preserve">up </w:t>
      </w:r>
      <w:r w:rsidR="00126D7C">
        <w:rPr>
          <w:b/>
          <w:bCs/>
        </w:rPr>
        <w:t>t</w:t>
      </w:r>
      <w:r w:rsidR="0096044C" w:rsidRPr="0015736F">
        <w:rPr>
          <w:b/>
          <w:bCs/>
        </w:rPr>
        <w:t>ax</w:t>
      </w:r>
      <w:r>
        <w:t>) is imposed</w:t>
      </w:r>
    </w:p>
    <w:p w14:paraId="3E93EDF3" w14:textId="14B9C1C0" w:rsidR="0096044C" w:rsidRPr="00020288" w:rsidRDefault="00CB563B" w:rsidP="0031794B">
      <w:pPr>
        <w:pStyle w:val="Dotpoint1"/>
      </w:pPr>
      <w:r>
        <w:t>Tax payable in accordance with subsection 10(1) of the</w:t>
      </w:r>
      <w:r w:rsidR="008D37DE">
        <w:t xml:space="preserve"> Assessment Bill</w:t>
      </w:r>
      <w:r>
        <w:t xml:space="preserve"> </w:t>
      </w:r>
      <w:r w:rsidR="00F13E98">
        <w:t>(</w:t>
      </w:r>
      <w:r w:rsidR="00F13E98" w:rsidRPr="0015736F">
        <w:rPr>
          <w:b/>
          <w:bCs/>
        </w:rPr>
        <w:t xml:space="preserve">UTPR </w:t>
      </w:r>
      <w:r w:rsidR="00126D7C">
        <w:rPr>
          <w:b/>
          <w:bCs/>
        </w:rPr>
        <w:t>t</w:t>
      </w:r>
      <w:r w:rsidR="00F13E98" w:rsidRPr="0015736F">
        <w:rPr>
          <w:b/>
          <w:bCs/>
        </w:rPr>
        <w:t>op</w:t>
      </w:r>
      <w:r w:rsidR="0031794B">
        <w:rPr>
          <w:b/>
          <w:bCs/>
        </w:rPr>
        <w:noBreakHyphen/>
      </w:r>
      <w:r w:rsidR="00F13E98" w:rsidRPr="0015736F">
        <w:rPr>
          <w:b/>
          <w:bCs/>
        </w:rPr>
        <w:t xml:space="preserve">up </w:t>
      </w:r>
      <w:r w:rsidR="00126D7C">
        <w:rPr>
          <w:b/>
          <w:bCs/>
        </w:rPr>
        <w:t>t</w:t>
      </w:r>
      <w:r w:rsidR="00F13E98" w:rsidRPr="0015736F">
        <w:rPr>
          <w:b/>
          <w:bCs/>
        </w:rPr>
        <w:t>ax</w:t>
      </w:r>
      <w:r w:rsidR="00F13E98">
        <w:t xml:space="preserve">) </w:t>
      </w:r>
      <w:r>
        <w:t>is imposed</w:t>
      </w:r>
      <w:r w:rsidR="0096044C">
        <w:t>.</w:t>
      </w:r>
      <w:r w:rsidR="0031794B">
        <w:br/>
      </w:r>
      <w:r w:rsidR="00B64542" w:rsidRPr="0031794B">
        <w:rPr>
          <w:rStyle w:val="References"/>
        </w:rPr>
        <w:t xml:space="preserve">[Section </w:t>
      </w:r>
      <w:r w:rsidR="004B6681" w:rsidRPr="0031794B">
        <w:rPr>
          <w:rStyle w:val="References"/>
        </w:rPr>
        <w:t>3</w:t>
      </w:r>
      <w:r w:rsidR="00B64542" w:rsidRPr="0031794B">
        <w:rPr>
          <w:rStyle w:val="References"/>
        </w:rPr>
        <w:t xml:space="preserve"> of the </w:t>
      </w:r>
      <w:r w:rsidR="00E123F9">
        <w:rPr>
          <w:rStyle w:val="References"/>
        </w:rPr>
        <w:t>Imposition Bill</w:t>
      </w:r>
      <w:r w:rsidR="00B64542" w:rsidRPr="0031794B">
        <w:rPr>
          <w:rStyle w:val="References"/>
        </w:rPr>
        <w:t>]</w:t>
      </w:r>
      <w:r w:rsidR="00B64542">
        <w:t xml:space="preserve"> </w:t>
      </w:r>
    </w:p>
    <w:p w14:paraId="52821D56" w14:textId="77777777" w:rsidR="00862258" w:rsidRPr="00020288" w:rsidRDefault="00862258" w:rsidP="00AF50CE">
      <w:pPr>
        <w:pStyle w:val="Heading2"/>
        <w:rPr>
          <w:rFonts w:hint="eastAsia"/>
        </w:rPr>
      </w:pPr>
      <w:r w:rsidRPr="00020288">
        <w:t xml:space="preserve">Commencement, </w:t>
      </w:r>
      <w:r w:rsidRPr="00AF50CE">
        <w:t>application</w:t>
      </w:r>
      <w:r w:rsidRPr="00020288">
        <w:t>, and transitional provisions</w:t>
      </w:r>
    </w:p>
    <w:p w14:paraId="0565B86F" w14:textId="51478556" w:rsidR="00CD4E84" w:rsidRDefault="003F56B9">
      <w:pPr>
        <w:pStyle w:val="Normalparatextwithnumbers"/>
      </w:pPr>
      <w:r>
        <w:t xml:space="preserve">Top-up tax applies </w:t>
      </w:r>
      <w:r w:rsidR="00CD4E84">
        <w:t xml:space="preserve">from </w:t>
      </w:r>
      <w:r w:rsidR="00E22598">
        <w:t xml:space="preserve">the day after Royal Assent of the Imposition </w:t>
      </w:r>
      <w:r w:rsidR="00855499">
        <w:t>Bill</w:t>
      </w:r>
      <w:r w:rsidR="00E22598">
        <w:t>.</w:t>
      </w:r>
      <w:r w:rsidR="000F315C">
        <w:br/>
      </w:r>
      <w:r w:rsidR="000F315C" w:rsidRPr="000F315C">
        <w:rPr>
          <w:rStyle w:val="References"/>
        </w:rPr>
        <w:t>[</w:t>
      </w:r>
      <w:r w:rsidR="000D2DAD">
        <w:rPr>
          <w:rStyle w:val="References"/>
        </w:rPr>
        <w:t xml:space="preserve">Table item 1 in subsection 2(1) of the </w:t>
      </w:r>
      <w:r w:rsidR="00E123F9">
        <w:rPr>
          <w:rStyle w:val="References"/>
        </w:rPr>
        <w:t>Imposition Bill</w:t>
      </w:r>
      <w:r w:rsidR="000F315C" w:rsidRPr="000F315C">
        <w:rPr>
          <w:rStyle w:val="References"/>
        </w:rPr>
        <w:t xml:space="preserve">] </w:t>
      </w:r>
    </w:p>
    <w:p w14:paraId="3F8DCADD" w14:textId="68228090" w:rsidR="00862258" w:rsidRPr="00020288" w:rsidRDefault="0034170C" w:rsidP="009A5A85">
      <w:pPr>
        <w:pStyle w:val="Normalparatextwithnumbers"/>
      </w:pPr>
      <w:r>
        <w:t xml:space="preserve">However, if the Assessment </w:t>
      </w:r>
      <w:r w:rsidR="00D64FF1">
        <w:t>Bill</w:t>
      </w:r>
      <w:r>
        <w:t xml:space="preserve"> does not receive Royal Assent then top-up tax does not apply. This ensures that all related legislation must be enacted before </w:t>
      </w:r>
      <w:r>
        <w:lastRenderedPageBreak/>
        <w:t xml:space="preserve">top-up tax can apply. The effect of this is that, if Royal Assent is obtained,  Domestic </w:t>
      </w:r>
      <w:r w:rsidR="001F45D7">
        <w:t>t</w:t>
      </w:r>
      <w:r>
        <w:t xml:space="preserve">op-up </w:t>
      </w:r>
      <w:r w:rsidR="001F45D7">
        <w:t>t</w:t>
      </w:r>
      <w:r>
        <w:t xml:space="preserve">ax and </w:t>
      </w:r>
      <w:r w:rsidR="002134D9">
        <w:t>GloBE</w:t>
      </w:r>
      <w:r>
        <w:t xml:space="preserve"> </w:t>
      </w:r>
      <w:r w:rsidR="001F45D7">
        <w:t>t</w:t>
      </w:r>
      <w:r>
        <w:t xml:space="preserve">op-up </w:t>
      </w:r>
      <w:r w:rsidR="001F45D7">
        <w:t>t</w:t>
      </w:r>
      <w:r>
        <w:t xml:space="preserve">ax imposed under subsection 4(1) and 7(1) of the Assessment </w:t>
      </w:r>
      <w:r w:rsidR="00D64FF1">
        <w:t>Bill</w:t>
      </w:r>
      <w:r>
        <w:t xml:space="preserve"> respectively, apply for Fiscal Years commencing on or after 1 January 2024 and UTPR </w:t>
      </w:r>
      <w:r w:rsidR="00D20183">
        <w:t>t</w:t>
      </w:r>
      <w:r>
        <w:t xml:space="preserve">op-up </w:t>
      </w:r>
      <w:r w:rsidR="00D20183">
        <w:t>t</w:t>
      </w:r>
      <w:r>
        <w:t xml:space="preserve">ax applies for Fiscal Years commencing on or after 1 January 2025, when each of those provisions of the Assessment </w:t>
      </w:r>
      <w:r w:rsidR="00D64FF1">
        <w:t>Bill</w:t>
      </w:r>
      <w:r>
        <w:t xml:space="preserve"> take effect.</w:t>
      </w:r>
      <w:r w:rsidR="000D2DAD">
        <w:br/>
      </w:r>
      <w:r w:rsidR="000D2DAD" w:rsidRPr="000D2DAD">
        <w:rPr>
          <w:rStyle w:val="References"/>
        </w:rPr>
        <w:t>[</w:t>
      </w:r>
      <w:r w:rsidR="003C7520">
        <w:rPr>
          <w:rStyle w:val="References"/>
        </w:rPr>
        <w:t xml:space="preserve">Table item 2 in subsection 2(1) of the Imposition </w:t>
      </w:r>
      <w:r w:rsidR="00FF4887">
        <w:rPr>
          <w:rStyle w:val="References"/>
        </w:rPr>
        <w:t>Bill</w:t>
      </w:r>
      <w:r w:rsidR="000D2DAD" w:rsidRPr="000D2DAD">
        <w:rPr>
          <w:rStyle w:val="References"/>
        </w:rPr>
        <w:t xml:space="preserve">] </w:t>
      </w:r>
    </w:p>
    <w:p w14:paraId="4947CBFA" w14:textId="77777777" w:rsidR="00862258" w:rsidRPr="006479AC" w:rsidRDefault="00862258" w:rsidP="006479AC">
      <w:pPr>
        <w:pStyle w:val="Normalparatextnonumbers"/>
      </w:pPr>
    </w:p>
    <w:p w14:paraId="7203A9A7" w14:textId="77777777" w:rsidR="00862258" w:rsidRDefault="00862258" w:rsidP="00873094">
      <w:pPr>
        <w:spacing w:after="0" w:line="360" w:lineRule="auto"/>
        <w:contextualSpacing/>
      </w:pPr>
    </w:p>
    <w:p w14:paraId="239E6DC9" w14:textId="77777777" w:rsidR="00873094" w:rsidRPr="00020288" w:rsidRDefault="00873094" w:rsidP="00873094">
      <w:pPr>
        <w:pStyle w:val="Heading1"/>
        <w:rPr>
          <w:rFonts w:hint="eastAsia"/>
        </w:rPr>
        <w:sectPr w:rsidR="00873094" w:rsidRPr="00020288" w:rsidSect="00FF511A">
          <w:headerReference w:type="even" r:id="rId24"/>
          <w:headerReference w:type="default" r:id="rId25"/>
          <w:headerReference w:type="first" r:id="rId26"/>
          <w:footerReference w:type="first" r:id="rId27"/>
          <w:type w:val="oddPage"/>
          <w:pgSz w:w="9978" w:h="14173" w:code="34"/>
          <w:pgMar w:top="567" w:right="1134" w:bottom="567" w:left="1134" w:header="709" w:footer="709" w:gutter="0"/>
          <w:cols w:space="708"/>
          <w:docGrid w:linePitch="360"/>
        </w:sectPr>
      </w:pPr>
    </w:p>
    <w:p w14:paraId="6DE17BD0" w14:textId="590C3BE0" w:rsidR="00873094" w:rsidRPr="0073326A" w:rsidRDefault="00FE765E" w:rsidP="00777A92">
      <w:pPr>
        <w:pStyle w:val="Chapterheading"/>
        <w:rPr>
          <w:rFonts w:hint="eastAsia"/>
        </w:rPr>
      </w:pPr>
      <w:bookmarkStart w:id="42" w:name="GeneralOutline"/>
      <w:bookmarkStart w:id="43" w:name="_Toc160721066"/>
      <w:bookmarkEnd w:id="27"/>
      <w:bookmarkEnd w:id="28"/>
      <w:bookmarkEnd w:id="29"/>
      <w:bookmarkEnd w:id="31"/>
      <w:bookmarkEnd w:id="32"/>
      <w:bookmarkEnd w:id="33"/>
      <w:bookmarkEnd w:id="34"/>
      <w:bookmarkEnd w:id="35"/>
      <w:bookmarkEnd w:id="36"/>
      <w:bookmarkEnd w:id="37"/>
      <w:bookmarkEnd w:id="38"/>
      <w:bookmarkEnd w:id="39"/>
      <w:bookmarkEnd w:id="40"/>
      <w:bookmarkEnd w:id="42"/>
      <w:r w:rsidRPr="00FE765E">
        <w:lastRenderedPageBreak/>
        <w:t>Taxation (Multinational—Global and Domestic Minimum Tax) Bill 2024</w:t>
      </w:r>
      <w:bookmarkEnd w:id="43"/>
      <w:r>
        <w:t xml:space="preserve"> </w:t>
      </w:r>
    </w:p>
    <w:p w14:paraId="6788C392" w14:textId="7DD4AA8D" w:rsidR="00546592" w:rsidRPr="00546592" w:rsidRDefault="00546592" w:rsidP="00546592">
      <w:pPr>
        <w:keepNext/>
        <w:keepLines/>
        <w:spacing w:before="360" w:after="360"/>
        <w:outlineLvl w:val="1"/>
        <w:rPr>
          <w:rFonts w:ascii="Helvitica" w:eastAsiaTheme="majorEastAsia" w:hAnsi="Helvitica" w:cstheme="majorBidi" w:hint="eastAsia"/>
          <w:sz w:val="36"/>
          <w:szCs w:val="26"/>
        </w:rPr>
      </w:pPr>
      <w:bookmarkStart w:id="44" w:name="_Toc158739655"/>
      <w:bookmarkEnd w:id="5"/>
      <w:r w:rsidRPr="00546592">
        <w:rPr>
          <w:rFonts w:ascii="Helvitica" w:eastAsiaTheme="majorEastAsia" w:hAnsi="Helvitica" w:cstheme="majorBidi"/>
          <w:sz w:val="36"/>
          <w:szCs w:val="26"/>
        </w:rPr>
        <w:t>Outline of chapter</w:t>
      </w:r>
      <w:bookmarkEnd w:id="44"/>
    </w:p>
    <w:p w14:paraId="3E541086" w14:textId="355D9348" w:rsidR="00BF3483" w:rsidRDefault="00446BAA" w:rsidP="009C1D73">
      <w:pPr>
        <w:numPr>
          <w:ilvl w:val="1"/>
          <w:numId w:val="47"/>
        </w:numPr>
      </w:pPr>
      <w:bookmarkStart w:id="45" w:name="_Toc158739656"/>
      <w:r w:rsidRPr="00546592" w:rsidDel="002B2800">
        <w:t xml:space="preserve">This </w:t>
      </w:r>
      <w:r w:rsidR="00BF3483">
        <w:t xml:space="preserve">Chapter explains the operation of the </w:t>
      </w:r>
      <w:r w:rsidR="00BF3483" w:rsidRPr="00D05451">
        <w:t xml:space="preserve">Taxation (Multinational—Global and Domestic Minimum Tax) Bill 2024 </w:t>
      </w:r>
      <w:r w:rsidR="00BF3483">
        <w:t>(</w:t>
      </w:r>
      <w:r w:rsidR="001415E4">
        <w:t>Assessment</w:t>
      </w:r>
      <w:r w:rsidR="00BF3483">
        <w:t xml:space="preserve"> Bill). </w:t>
      </w:r>
    </w:p>
    <w:p w14:paraId="2C5519DB" w14:textId="036B8BF6" w:rsidR="00446BAA" w:rsidRPr="00546592" w:rsidRDefault="002B2800" w:rsidP="009C03DA">
      <w:pPr>
        <w:numPr>
          <w:ilvl w:val="1"/>
          <w:numId w:val="47"/>
        </w:numPr>
      </w:pPr>
      <w:r>
        <w:t xml:space="preserve">The Assessment </w:t>
      </w:r>
      <w:r w:rsidR="00D64FF1">
        <w:t>Bill</w:t>
      </w:r>
      <w:r w:rsidR="00446BAA" w:rsidRPr="00546592">
        <w:t xml:space="preserve"> establishes a new taxation framework </w:t>
      </w:r>
      <w:r w:rsidR="00863AD2">
        <w:t>to</w:t>
      </w:r>
      <w:r w:rsidR="00446BAA" w:rsidRPr="00546592">
        <w:t xml:space="preserve"> implement the GloBE Rules and a </w:t>
      </w:r>
      <w:r w:rsidR="00DA68FA">
        <w:t xml:space="preserve">DMT </w:t>
      </w:r>
      <w:r w:rsidR="00446BAA" w:rsidRPr="00546592">
        <w:t xml:space="preserve">for </w:t>
      </w:r>
      <w:r w:rsidR="00446BAA">
        <w:t xml:space="preserve">certain </w:t>
      </w:r>
      <w:r w:rsidR="00446BAA" w:rsidRPr="00546592">
        <w:t xml:space="preserve">MNE </w:t>
      </w:r>
      <w:r w:rsidR="00446BAA">
        <w:t>G</w:t>
      </w:r>
      <w:r w:rsidR="00446BAA" w:rsidRPr="00546592">
        <w:t xml:space="preserve">roups. The framework </w:t>
      </w:r>
      <w:r w:rsidR="00446BAA">
        <w:t xml:space="preserve">establishes rules for </w:t>
      </w:r>
      <w:r w:rsidR="00446BAA" w:rsidRPr="00546592">
        <w:t>assess</w:t>
      </w:r>
      <w:r w:rsidR="00446BAA">
        <w:t>ing</w:t>
      </w:r>
      <w:r w:rsidR="00446BAA" w:rsidRPr="00546592">
        <w:t xml:space="preserve"> the domestic minimum </w:t>
      </w:r>
      <w:r w:rsidR="00EE697E">
        <w:t>t</w:t>
      </w:r>
      <w:r w:rsidR="0088005A">
        <w:t xml:space="preserve">op-up </w:t>
      </w:r>
      <w:r w:rsidR="00EE697E">
        <w:t>t</w:t>
      </w:r>
      <w:r w:rsidR="0088005A">
        <w:t>ax</w:t>
      </w:r>
      <w:r w:rsidR="00446BAA" w:rsidRPr="00546592">
        <w:t xml:space="preserve"> and the global minimum </w:t>
      </w:r>
      <w:r w:rsidR="00EE697E">
        <w:t>t</w:t>
      </w:r>
      <w:r w:rsidR="0088005A">
        <w:t xml:space="preserve">op-up </w:t>
      </w:r>
      <w:r w:rsidR="00EE697E">
        <w:t>t</w:t>
      </w:r>
      <w:r w:rsidR="0088005A">
        <w:t>ax</w:t>
      </w:r>
      <w:r w:rsidR="00446BAA" w:rsidRPr="00546592">
        <w:t xml:space="preserve"> liability o</w:t>
      </w:r>
      <w:r w:rsidR="00446BAA">
        <w:t>f</w:t>
      </w:r>
      <w:r w:rsidR="00446BAA" w:rsidRPr="00546592">
        <w:t xml:space="preserve"> certain MNEs as a part of </w:t>
      </w:r>
      <w:r w:rsidR="00446BAA">
        <w:t xml:space="preserve">a </w:t>
      </w:r>
      <w:r w:rsidR="00446BAA" w:rsidRPr="00546592">
        <w:t xml:space="preserve">coordinated global approach. </w:t>
      </w:r>
      <w:r w:rsidR="0085520F">
        <w:t>The Assessment</w:t>
      </w:r>
      <w:r w:rsidR="00446BAA" w:rsidRPr="00546592">
        <w:t xml:space="preserve"> </w:t>
      </w:r>
      <w:r w:rsidR="00D64FF1">
        <w:t>Bill</w:t>
      </w:r>
      <w:r w:rsidR="00446BAA" w:rsidRPr="00546592">
        <w:t xml:space="preserve"> ensure</w:t>
      </w:r>
      <w:r w:rsidR="006E16A7">
        <w:t>s</w:t>
      </w:r>
      <w:r w:rsidR="00446BAA" w:rsidRPr="00546592">
        <w:t xml:space="preserve"> that MNEs within scope of the GloBE Rules </w:t>
      </w:r>
      <w:r w:rsidR="00E9333D">
        <w:t>have</w:t>
      </w:r>
      <w:r w:rsidR="00446BAA" w:rsidRPr="00546592">
        <w:t xml:space="preserve"> an ETR of </w:t>
      </w:r>
      <w:r w:rsidR="00EF47DF">
        <w:t>at least</w:t>
      </w:r>
      <w:r w:rsidR="00446BAA" w:rsidRPr="00546592">
        <w:t xml:space="preserve"> 15 per cent </w:t>
      </w:r>
      <w:r w:rsidR="00EF47DF">
        <w:t xml:space="preserve">in respect of </w:t>
      </w:r>
      <w:r w:rsidR="00446BAA" w:rsidRPr="00546592">
        <w:t>the GloBE income arising in each jurisdiction</w:t>
      </w:r>
      <w:r w:rsidR="00446BAA">
        <w:t xml:space="preserve"> in which </w:t>
      </w:r>
      <w:r w:rsidR="00446BAA" w:rsidRPr="00546592">
        <w:t>they operate, consistent with the GloBE Rules.</w:t>
      </w:r>
    </w:p>
    <w:p w14:paraId="1DC594E9" w14:textId="77777777" w:rsidR="00546592" w:rsidRPr="00546592" w:rsidRDefault="00546592" w:rsidP="00546592">
      <w:pPr>
        <w:keepNext/>
        <w:keepLines/>
        <w:spacing w:before="360" w:after="360"/>
        <w:outlineLvl w:val="1"/>
        <w:rPr>
          <w:rFonts w:ascii="Helvitica" w:eastAsiaTheme="majorEastAsia" w:hAnsi="Helvitica" w:cstheme="majorBidi" w:hint="eastAsia"/>
          <w:sz w:val="36"/>
          <w:szCs w:val="26"/>
        </w:rPr>
      </w:pPr>
      <w:bookmarkStart w:id="46" w:name="_Toc158739657"/>
      <w:bookmarkEnd w:id="45"/>
      <w:r w:rsidRPr="00546592">
        <w:rPr>
          <w:rFonts w:ascii="Helvitica" w:eastAsiaTheme="majorEastAsia" w:hAnsi="Helvitica" w:cstheme="majorBidi"/>
          <w:sz w:val="36"/>
          <w:szCs w:val="26"/>
        </w:rPr>
        <w:t>Summary of new law</w:t>
      </w:r>
      <w:bookmarkEnd w:id="46"/>
    </w:p>
    <w:p w14:paraId="207604AC" w14:textId="5ECA0AA4" w:rsidR="00546592" w:rsidRPr="00546592" w:rsidRDefault="00546592">
      <w:pPr>
        <w:pStyle w:val="Normalparatextwithnumbers"/>
      </w:pPr>
      <w:r w:rsidRPr="00546592">
        <w:t xml:space="preserve">The </w:t>
      </w:r>
      <w:r w:rsidR="0085520F">
        <w:t>Assessment</w:t>
      </w:r>
      <w:r w:rsidR="0078309D">
        <w:t xml:space="preserve"> </w:t>
      </w:r>
      <w:r w:rsidR="00D64FF1">
        <w:t>Bill</w:t>
      </w:r>
      <w:r w:rsidR="0078309D">
        <w:t xml:space="preserve"> sets out a framework for the entities that are liable to </w:t>
      </w:r>
      <w:r w:rsidR="00EE697E">
        <w:t>t</w:t>
      </w:r>
      <w:r w:rsidR="0088005A">
        <w:t>op</w:t>
      </w:r>
      <w:r w:rsidR="00BE73AF">
        <w:noBreakHyphen/>
      </w:r>
      <w:r w:rsidR="0088005A">
        <w:t xml:space="preserve">up </w:t>
      </w:r>
      <w:r w:rsidR="00EE697E">
        <w:t>t</w:t>
      </w:r>
      <w:r w:rsidR="0088005A">
        <w:t>ax</w:t>
      </w:r>
      <w:r w:rsidR="0078309D">
        <w:t xml:space="preserve"> in a way that seeks to achieve outcome</w:t>
      </w:r>
      <w:r w:rsidR="00D31295">
        <w:t>s</w:t>
      </w:r>
      <w:r w:rsidR="0078309D">
        <w:t xml:space="preserve"> consistent with the GloBE Rules. This includes establishing the entities that are within scope of the </w:t>
      </w:r>
      <w:r w:rsidR="000C4A66">
        <w:t xml:space="preserve">GloBE </w:t>
      </w:r>
      <w:r w:rsidR="00980A6C">
        <w:t>Rules</w:t>
      </w:r>
      <w:r w:rsidR="0078309D">
        <w:t xml:space="preserve">, relevant definitions that are used to support the framework and the description of taxes that may be charged to an entity. </w:t>
      </w:r>
    </w:p>
    <w:p w14:paraId="6A9DF65A" w14:textId="2F505DBE" w:rsidR="00546592" w:rsidRPr="00546592" w:rsidRDefault="00546592" w:rsidP="00546592">
      <w:pPr>
        <w:numPr>
          <w:ilvl w:val="1"/>
          <w:numId w:val="47"/>
        </w:numPr>
      </w:pPr>
      <w:r w:rsidRPr="00546592">
        <w:t xml:space="preserve">It is intended that the substantive computation of </w:t>
      </w:r>
      <w:r w:rsidR="00DB35E9">
        <w:t>t</w:t>
      </w:r>
      <w:r w:rsidR="004F7AE7" w:rsidRPr="00546592">
        <w:t>op</w:t>
      </w:r>
      <w:r w:rsidRPr="00546592">
        <w:noBreakHyphen/>
      </w:r>
      <w:r w:rsidR="00DB35E9">
        <w:t>u</w:t>
      </w:r>
      <w:r w:rsidR="004F7AE7" w:rsidRPr="00546592">
        <w:t xml:space="preserve">p </w:t>
      </w:r>
      <w:r w:rsidR="00DB35E9">
        <w:t>t</w:t>
      </w:r>
      <w:r w:rsidR="004F7AE7" w:rsidRPr="00546592">
        <w:t>a</w:t>
      </w:r>
      <w:r w:rsidR="00552F43">
        <w:t>x, consistent with</w:t>
      </w:r>
      <w:r w:rsidRPr="00546592">
        <w:t xml:space="preserve"> the GloBE </w:t>
      </w:r>
      <w:r w:rsidR="00A1290C">
        <w:t>R</w:t>
      </w:r>
      <w:r w:rsidRPr="00546592">
        <w:t>ules</w:t>
      </w:r>
      <w:r w:rsidR="00552F43">
        <w:t>,</w:t>
      </w:r>
      <w:r w:rsidR="00DB35E9">
        <w:t xml:space="preserve"> is to</w:t>
      </w:r>
      <w:r w:rsidRPr="00546592">
        <w:t xml:space="preserve"> be determined under the Minister’s rule</w:t>
      </w:r>
      <w:r w:rsidR="00552F43">
        <w:t>-</w:t>
      </w:r>
      <w:r w:rsidRPr="00546592">
        <w:t xml:space="preserve">making power. This </w:t>
      </w:r>
      <w:r w:rsidR="00552F43">
        <w:t>approach</w:t>
      </w:r>
      <w:r w:rsidRPr="00546592">
        <w:t xml:space="preserve"> ensure</w:t>
      </w:r>
      <w:r w:rsidR="00552F43">
        <w:t>s</w:t>
      </w:r>
      <w:r w:rsidRPr="00546592">
        <w:t xml:space="preserve"> that future administrative guidance released by the OECD </w:t>
      </w:r>
      <w:r w:rsidR="00552F43">
        <w:t xml:space="preserve">can be more easily adapted and </w:t>
      </w:r>
      <w:r w:rsidRPr="00546592">
        <w:t>incorporated in a timely and efficient manner</w:t>
      </w:r>
      <w:r w:rsidR="00552F43">
        <w:t>, while retaining an appropriate level of parliamentary oversight</w:t>
      </w:r>
      <w:r w:rsidRPr="00546592">
        <w:t xml:space="preserve">. The </w:t>
      </w:r>
      <w:r w:rsidR="0032153A">
        <w:t>R</w:t>
      </w:r>
      <w:r w:rsidR="0032153A" w:rsidRPr="00546592">
        <w:t>ules</w:t>
      </w:r>
      <w:r w:rsidRPr="00546592">
        <w:t xml:space="preserve"> will contain detail</w:t>
      </w:r>
      <w:r w:rsidR="00552F43">
        <w:t>ed provisions</w:t>
      </w:r>
      <w:r w:rsidRPr="00546592">
        <w:t xml:space="preserve"> that establish the computations for calculating an ETR. </w:t>
      </w:r>
      <w:r w:rsidR="00462C32">
        <w:t>Provisions consistent with t</w:t>
      </w:r>
      <w:r w:rsidRPr="00546592">
        <w:t xml:space="preserve">he ancillary </w:t>
      </w:r>
      <w:r w:rsidR="004F7AE7">
        <w:t>C</w:t>
      </w:r>
      <w:r w:rsidRPr="00546592">
        <w:t xml:space="preserve">hapters 6 and 7 </w:t>
      </w:r>
      <w:r w:rsidR="00A955ED">
        <w:t xml:space="preserve">of the GloBE Rules </w:t>
      </w:r>
      <w:r w:rsidRPr="00546592">
        <w:t>are included to support the ETR computations for special entities. The safe harbours and transitional provisions</w:t>
      </w:r>
      <w:r w:rsidR="00BA3CC4">
        <w:t xml:space="preserve"> from Chapters 8 and 9</w:t>
      </w:r>
      <w:r w:rsidRPr="00546592">
        <w:t xml:space="preserve"> are also contained in </w:t>
      </w:r>
      <w:r w:rsidR="00462C32">
        <w:t>Th</w:t>
      </w:r>
      <w:r w:rsidRPr="00546592">
        <w:t xml:space="preserve">e </w:t>
      </w:r>
      <w:r w:rsidR="00D8117B">
        <w:t>R</w:t>
      </w:r>
      <w:r w:rsidR="00D8117B" w:rsidRPr="00546592">
        <w:t>ules</w:t>
      </w:r>
      <w:r w:rsidRPr="00546592">
        <w:t>.</w:t>
      </w:r>
    </w:p>
    <w:p w14:paraId="721E2E5A" w14:textId="77777777" w:rsidR="00546592" w:rsidRPr="00546592" w:rsidRDefault="00546592" w:rsidP="00546592">
      <w:pPr>
        <w:keepNext/>
        <w:keepLines/>
        <w:numPr>
          <w:ilvl w:val="1"/>
          <w:numId w:val="2"/>
        </w:numPr>
        <w:tabs>
          <w:tab w:val="num" w:pos="567"/>
        </w:tabs>
        <w:spacing w:before="360" w:after="360"/>
        <w:ind w:left="567" w:hanging="567"/>
        <w:outlineLvl w:val="1"/>
        <w:rPr>
          <w:rFonts w:ascii="Helvitica" w:eastAsiaTheme="majorEastAsia" w:hAnsi="Helvitica" w:cstheme="majorBidi" w:hint="eastAsia"/>
          <w:sz w:val="36"/>
          <w:szCs w:val="26"/>
        </w:rPr>
      </w:pPr>
      <w:bookmarkStart w:id="47" w:name="_Toc158739658"/>
      <w:r w:rsidRPr="00546592">
        <w:rPr>
          <w:rFonts w:ascii="Helvitica" w:eastAsiaTheme="majorEastAsia" w:hAnsi="Helvitica" w:cstheme="majorBidi"/>
          <w:sz w:val="36"/>
          <w:szCs w:val="26"/>
        </w:rPr>
        <w:lastRenderedPageBreak/>
        <w:t>Detailed explanation of new law</w:t>
      </w:r>
      <w:bookmarkEnd w:id="47"/>
    </w:p>
    <w:p w14:paraId="44E2A607" w14:textId="61706137" w:rsidR="00925E61" w:rsidRDefault="00925E61" w:rsidP="00925E61">
      <w:pPr>
        <w:pStyle w:val="Heading3"/>
        <w:rPr>
          <w:rFonts w:hint="eastAsia"/>
        </w:rPr>
      </w:pPr>
      <w:r>
        <w:t xml:space="preserve">Objective </w:t>
      </w:r>
    </w:p>
    <w:p w14:paraId="11E4ABFF" w14:textId="568B4D04" w:rsidR="00925E61" w:rsidRDefault="00925E61" w:rsidP="00925E61">
      <w:pPr>
        <w:pStyle w:val="Normalparatextwithnumbers"/>
      </w:pPr>
      <w:r>
        <w:t xml:space="preserve">The objective of the </w:t>
      </w:r>
      <w:r w:rsidR="009F0619">
        <w:t xml:space="preserve">Assessment </w:t>
      </w:r>
      <w:r w:rsidR="00D64FF1">
        <w:t>Bill</w:t>
      </w:r>
      <w:r>
        <w:t xml:space="preserve"> is to ensure MNE groups pay a minimum level of tax on the income arising in each of the jurisdictions where they operate. It does so by imposing a </w:t>
      </w:r>
      <w:r w:rsidR="00462C32">
        <w:t>t</w:t>
      </w:r>
      <w:r>
        <w:t xml:space="preserve">op-up </w:t>
      </w:r>
      <w:r w:rsidR="00462C32">
        <w:t>t</w:t>
      </w:r>
      <w:r>
        <w:t xml:space="preserve">ax on profits in a jurisdiction whenever the effective tax rate, that is determined for that jurisdiction, is below the minimum rate. The meaning of </w:t>
      </w:r>
      <w:r w:rsidR="00462C32">
        <w:t>D</w:t>
      </w:r>
      <w:r>
        <w:t xml:space="preserve">omestic </w:t>
      </w:r>
      <w:r w:rsidR="003A6DAF">
        <w:t>t</w:t>
      </w:r>
      <w:r>
        <w:t xml:space="preserve">op-up </w:t>
      </w:r>
      <w:r w:rsidR="003A6DAF">
        <w:t>t</w:t>
      </w:r>
      <w:r>
        <w:t xml:space="preserve">ax </w:t>
      </w:r>
      <w:r w:rsidR="00462C32">
        <w:t>A</w:t>
      </w:r>
      <w:r>
        <w:t>mount in Australia is delegated to the Rules.</w:t>
      </w:r>
      <w:r w:rsidRPr="00FB3B56">
        <w:rPr>
          <w:rStyle w:val="References"/>
        </w:rPr>
        <w:t xml:space="preserve"> </w:t>
      </w:r>
      <w:r>
        <w:br/>
      </w:r>
      <w:r w:rsidRPr="00832037">
        <w:rPr>
          <w:rStyle w:val="References"/>
        </w:rPr>
        <w:t>[</w:t>
      </w:r>
      <w:r w:rsidRPr="009B7FD1">
        <w:rPr>
          <w:b/>
          <w:bCs/>
          <w:i/>
          <w:iCs/>
        </w:rPr>
        <w:t xml:space="preserve">Section 5 of the </w:t>
      </w:r>
      <w:r w:rsidR="0085520F">
        <w:rPr>
          <w:b/>
          <w:bCs/>
          <w:i/>
          <w:iCs/>
        </w:rPr>
        <w:t xml:space="preserve">Assessment </w:t>
      </w:r>
      <w:r w:rsidR="00D64FF1">
        <w:rPr>
          <w:b/>
          <w:bCs/>
          <w:i/>
          <w:iCs/>
        </w:rPr>
        <w:t>Bill</w:t>
      </w:r>
      <w:r w:rsidRPr="00832037">
        <w:rPr>
          <w:rStyle w:val="References"/>
        </w:rPr>
        <w:t>]</w:t>
      </w:r>
    </w:p>
    <w:p w14:paraId="0CA717F4" w14:textId="4C6FD0F2" w:rsidR="00925E61" w:rsidRPr="00546592" w:rsidRDefault="00925E61" w:rsidP="00925E61">
      <w:pPr>
        <w:pStyle w:val="Normalparatextwithnumbers"/>
      </w:pPr>
      <w:r w:rsidRPr="00546592">
        <w:t xml:space="preserve">The </w:t>
      </w:r>
      <w:r w:rsidR="0085520F">
        <w:t xml:space="preserve">Assessment </w:t>
      </w:r>
      <w:r w:rsidR="00D64FF1">
        <w:t>Bill</w:t>
      </w:r>
      <w:r w:rsidRPr="00546592">
        <w:t xml:space="preserve"> implements a </w:t>
      </w:r>
      <w:r>
        <w:t xml:space="preserve">liability to pay a </w:t>
      </w:r>
      <w:r w:rsidR="004D2C64">
        <w:t xml:space="preserve">IIR </w:t>
      </w:r>
      <w:r w:rsidR="003A6DAF">
        <w:t>t</w:t>
      </w:r>
      <w:r>
        <w:t xml:space="preserve">op-up </w:t>
      </w:r>
      <w:r w:rsidR="003A6DAF">
        <w:t>t</w:t>
      </w:r>
      <w:r>
        <w:t xml:space="preserve">ax in the event that a Constituent Entity </w:t>
      </w:r>
      <w:r w:rsidR="004D2C64">
        <w:t xml:space="preserve">is located in a jurisdiction that </w:t>
      </w:r>
      <w:r>
        <w:t xml:space="preserve">has </w:t>
      </w:r>
      <w:r w:rsidR="004D2C64">
        <w:t>an ETR below</w:t>
      </w:r>
      <w:r>
        <w:t xml:space="preserve"> the </w:t>
      </w:r>
      <w:r w:rsidR="004D2C64">
        <w:t>15</w:t>
      </w:r>
      <w:r w:rsidR="00D057E5">
        <w:t> per cent</w:t>
      </w:r>
      <w:r w:rsidR="004D2C64">
        <w:t xml:space="preserve"> global minimum tax rate. </w:t>
      </w:r>
      <w:r w:rsidRPr="00546592" w:rsidDel="004876C6">
        <w:t xml:space="preserve"> </w:t>
      </w:r>
      <w:r>
        <w:br/>
      </w:r>
      <w:r w:rsidRPr="00725EC8">
        <w:rPr>
          <w:rStyle w:val="References"/>
        </w:rPr>
        <w:t>[</w:t>
      </w:r>
      <w:r w:rsidRPr="00546592">
        <w:rPr>
          <w:b/>
          <w:bCs/>
          <w:i/>
          <w:iCs/>
        </w:rPr>
        <w:t xml:space="preserve">Section </w:t>
      </w:r>
      <w:r>
        <w:rPr>
          <w:b/>
          <w:bCs/>
          <w:i/>
          <w:iCs/>
        </w:rPr>
        <w:t>7</w:t>
      </w:r>
      <w:r w:rsidRPr="00546592">
        <w:rPr>
          <w:b/>
          <w:bCs/>
          <w:i/>
          <w:iCs/>
        </w:rPr>
        <w:t xml:space="preserve"> of the </w:t>
      </w:r>
      <w:r w:rsidR="0085520F">
        <w:rPr>
          <w:b/>
          <w:bCs/>
          <w:i/>
          <w:iCs/>
        </w:rPr>
        <w:t xml:space="preserve">Assessment </w:t>
      </w:r>
      <w:r w:rsidR="00D64FF1">
        <w:rPr>
          <w:b/>
          <w:bCs/>
          <w:i/>
          <w:iCs/>
        </w:rPr>
        <w:t>Bill</w:t>
      </w:r>
      <w:r>
        <w:rPr>
          <w:b/>
          <w:bCs/>
          <w:i/>
          <w:iCs/>
        </w:rPr>
        <w:t>]</w:t>
      </w:r>
    </w:p>
    <w:p w14:paraId="30AD4C73" w14:textId="77777777" w:rsidR="00925E61" w:rsidRPr="00546592" w:rsidRDefault="00925E61" w:rsidP="00925E61">
      <w:pPr>
        <w:pStyle w:val="Heading3"/>
        <w:rPr>
          <w:rFonts w:hint="eastAsia"/>
          <w:sz w:val="36"/>
          <w:szCs w:val="26"/>
        </w:rPr>
      </w:pPr>
      <w:bookmarkStart w:id="48" w:name="_Toc158739659"/>
      <w:r w:rsidRPr="00546592">
        <w:t>MNE Group</w:t>
      </w:r>
      <w:bookmarkEnd w:id="48"/>
    </w:p>
    <w:p w14:paraId="2F999A44" w14:textId="5F6F1B27" w:rsidR="00C10115" w:rsidRDefault="002D0B6B">
      <w:pPr>
        <w:numPr>
          <w:ilvl w:val="1"/>
          <w:numId w:val="3"/>
        </w:numPr>
      </w:pPr>
      <w:r>
        <w:t xml:space="preserve">In </w:t>
      </w:r>
      <w:r w:rsidR="003F5C3B">
        <w:t xml:space="preserve">considering whether the </w:t>
      </w:r>
      <w:r w:rsidR="004D2C64">
        <w:t>t</w:t>
      </w:r>
      <w:r w:rsidR="0088005A">
        <w:t xml:space="preserve">op-up </w:t>
      </w:r>
      <w:r w:rsidR="004D2C64">
        <w:t>t</w:t>
      </w:r>
      <w:r w:rsidR="0088005A">
        <w:t>ax</w:t>
      </w:r>
      <w:r w:rsidR="003F5C3B">
        <w:t xml:space="preserve"> computations are applicable to a </w:t>
      </w:r>
      <w:r w:rsidR="00546592" w:rsidRPr="009C53BC">
        <w:rPr>
          <w:b/>
          <w:bCs/>
          <w:i/>
          <w:iCs/>
        </w:rPr>
        <w:t>Group</w:t>
      </w:r>
      <w:r w:rsidR="00546592" w:rsidRPr="00546592">
        <w:t xml:space="preserve"> </w:t>
      </w:r>
      <w:r w:rsidR="00D039E3">
        <w:t>there must be a</w:t>
      </w:r>
      <w:r w:rsidR="00D220A4">
        <w:t xml:space="preserve"> UPE and at least one </w:t>
      </w:r>
      <w:r w:rsidR="00F33100">
        <w:t>Constituent Entity</w:t>
      </w:r>
      <w:r w:rsidR="00805F92">
        <w:t xml:space="preserve"> </w:t>
      </w:r>
      <w:r w:rsidR="00BC7C5A">
        <w:t xml:space="preserve">located in a different jurisdiction. </w:t>
      </w:r>
      <w:r w:rsidR="00643928">
        <w:t>This can also extend to a group that consists of a solely a Permanent Establishment and a Main Entity.</w:t>
      </w:r>
      <w:r w:rsidR="00805F92">
        <w:t xml:space="preserve"> </w:t>
      </w:r>
      <w:r w:rsidR="001A47A3">
        <w:t xml:space="preserve">This is also the definition of an </w:t>
      </w:r>
      <w:r w:rsidR="001A47A3">
        <w:rPr>
          <w:b/>
          <w:bCs/>
          <w:i/>
          <w:iCs/>
        </w:rPr>
        <w:t>MNE Group</w:t>
      </w:r>
      <w:r w:rsidR="00FB51EA">
        <w:t>.</w:t>
      </w:r>
      <w:r w:rsidR="001A47A3">
        <w:rPr>
          <w:b/>
          <w:bCs/>
          <w:i/>
          <w:iCs/>
        </w:rPr>
        <w:t xml:space="preserve"> </w:t>
      </w:r>
      <w:r w:rsidR="00FB51EA">
        <w:t>H</w:t>
      </w:r>
      <w:r w:rsidR="001A47A3">
        <w:t>ow</w:t>
      </w:r>
      <w:r w:rsidR="003A68FD">
        <w:t>ever, to be a group, t</w:t>
      </w:r>
      <w:r w:rsidR="00805F92">
        <w:t xml:space="preserve">he </w:t>
      </w:r>
      <w:r w:rsidR="00F33100">
        <w:t>Constituent Entity</w:t>
      </w:r>
      <w:r w:rsidR="007B65B7">
        <w:t xml:space="preserve"> </w:t>
      </w:r>
      <w:r w:rsidR="00D46345">
        <w:t xml:space="preserve">or Permanent Establishment </w:t>
      </w:r>
      <w:r w:rsidR="009C53BC">
        <w:t>must be either</w:t>
      </w:r>
      <w:r w:rsidR="00C10115">
        <w:t>:</w:t>
      </w:r>
    </w:p>
    <w:p w14:paraId="4343F98F" w14:textId="5DBB64D6" w:rsidR="009C53BC" w:rsidRPr="00546592" w:rsidRDefault="009C53BC" w:rsidP="00C10115">
      <w:pPr>
        <w:pStyle w:val="Dotpoint1"/>
      </w:pPr>
      <w:r>
        <w:t>included in the CFS of the UPE</w:t>
      </w:r>
      <w:r w:rsidR="00C10115">
        <w:t>,</w:t>
      </w:r>
      <w:r w:rsidRPr="00546592">
        <w:t xml:space="preserve"> which shows that they are related through ownership or control with the UPE; or </w:t>
      </w:r>
    </w:p>
    <w:p w14:paraId="21C9B7FF" w14:textId="00DBB9E8" w:rsidR="009C53BC" w:rsidRPr="00546592" w:rsidRDefault="009C53BC" w:rsidP="006D3406">
      <w:pPr>
        <w:pStyle w:val="Dotpoint1"/>
        <w:rPr>
          <w:bCs/>
        </w:rPr>
      </w:pPr>
      <w:r w:rsidRPr="00546592">
        <w:t xml:space="preserve">not included in the CFS of the UPE </w:t>
      </w:r>
      <w:r w:rsidR="00C10115">
        <w:t xml:space="preserve">based </w:t>
      </w:r>
      <w:r w:rsidRPr="00546592">
        <w:t xml:space="preserve">solely on size or materiality grounds, or on the grounds that the Entity is held for sale. </w:t>
      </w:r>
      <w:r w:rsidRPr="00546592">
        <w:br/>
      </w:r>
      <w:r w:rsidRPr="00546592">
        <w:rPr>
          <w:b/>
          <w:bCs/>
          <w:i/>
        </w:rPr>
        <w:t>[</w:t>
      </w:r>
      <w:r w:rsidR="00EC685C">
        <w:rPr>
          <w:b/>
          <w:bCs/>
          <w:i/>
        </w:rPr>
        <w:t>S</w:t>
      </w:r>
      <w:r w:rsidR="00995DB0">
        <w:rPr>
          <w:b/>
          <w:bCs/>
          <w:i/>
        </w:rPr>
        <w:t>ubs</w:t>
      </w:r>
      <w:r w:rsidRPr="00546592">
        <w:rPr>
          <w:b/>
          <w:bCs/>
          <w:i/>
        </w:rPr>
        <w:t>ection</w:t>
      </w:r>
      <w:r w:rsidR="00BB520E">
        <w:rPr>
          <w:b/>
          <w:bCs/>
          <w:i/>
        </w:rPr>
        <w:t>s</w:t>
      </w:r>
      <w:r w:rsidRPr="00546592">
        <w:rPr>
          <w:b/>
          <w:bCs/>
          <w:i/>
        </w:rPr>
        <w:t xml:space="preserve"> 1-15(</w:t>
      </w:r>
      <w:r w:rsidR="001A47A3">
        <w:rPr>
          <w:b/>
          <w:bCs/>
          <w:i/>
        </w:rPr>
        <w:t xml:space="preserve">1) and </w:t>
      </w:r>
      <w:r w:rsidRPr="00546592">
        <w:rPr>
          <w:b/>
          <w:bCs/>
          <w:i/>
        </w:rPr>
        <w:t>(3)</w:t>
      </w:r>
      <w:r w:rsidR="00C10115">
        <w:rPr>
          <w:b/>
          <w:bCs/>
          <w:i/>
        </w:rPr>
        <w:t xml:space="preserve"> of the </w:t>
      </w:r>
      <w:r w:rsidR="0085520F">
        <w:rPr>
          <w:b/>
          <w:bCs/>
          <w:i/>
        </w:rPr>
        <w:t xml:space="preserve">Assessment </w:t>
      </w:r>
      <w:r w:rsidR="00D64FF1">
        <w:rPr>
          <w:b/>
          <w:bCs/>
          <w:i/>
        </w:rPr>
        <w:t>Bill</w:t>
      </w:r>
      <w:r w:rsidRPr="00546592">
        <w:rPr>
          <w:b/>
          <w:bCs/>
          <w:i/>
        </w:rPr>
        <w:t xml:space="preserve">] </w:t>
      </w:r>
    </w:p>
    <w:p w14:paraId="657C4EDA" w14:textId="1C2A0FE4" w:rsidR="00764056" w:rsidRPr="00546592" w:rsidRDefault="00764056" w:rsidP="00764056">
      <w:pPr>
        <w:pStyle w:val="Normalparatextwithnumbers"/>
      </w:pPr>
      <w:r w:rsidRPr="00546592">
        <w:t xml:space="preserve">If there is only one Entity and one Permanent Establishment in the MNE Group, then that Permanent Establishment must not be a </w:t>
      </w:r>
      <w:r w:rsidRPr="00546592">
        <w:rPr>
          <w:b/>
          <w:bCs/>
          <w:i/>
          <w:iCs/>
        </w:rPr>
        <w:t>Stateless Constituent Entity</w:t>
      </w:r>
      <w:r w:rsidR="00EE0720">
        <w:t>.</w:t>
      </w:r>
    </w:p>
    <w:p w14:paraId="6DA55DFC" w14:textId="21B88955" w:rsidR="009D130C" w:rsidRDefault="00546592" w:rsidP="00546592">
      <w:pPr>
        <w:numPr>
          <w:ilvl w:val="1"/>
          <w:numId w:val="47"/>
        </w:numPr>
      </w:pPr>
      <w:r w:rsidRPr="00546592">
        <w:t xml:space="preserve">An MNE Group subject to the GloBE Rules is called an </w:t>
      </w:r>
      <w:r w:rsidRPr="00546592">
        <w:rPr>
          <w:b/>
          <w:bCs/>
          <w:i/>
          <w:iCs/>
        </w:rPr>
        <w:t xml:space="preserve">Applicable MNE Group. </w:t>
      </w:r>
      <w:r w:rsidR="00BD2C53">
        <w:t>The</w:t>
      </w:r>
      <w:r w:rsidRPr="00546592">
        <w:t xml:space="preserve"> Rules apply to an Applicable MNE Group if it meets </w:t>
      </w:r>
      <w:r w:rsidR="009C109C">
        <w:t xml:space="preserve">the following </w:t>
      </w:r>
      <w:r w:rsidRPr="00546592">
        <w:t>two criteria</w:t>
      </w:r>
      <w:r w:rsidR="009D130C">
        <w:t>:</w:t>
      </w:r>
    </w:p>
    <w:p w14:paraId="35FE66DF" w14:textId="2CB15949" w:rsidR="00EB2806" w:rsidRDefault="00EB2806" w:rsidP="009D130C">
      <w:pPr>
        <w:pStyle w:val="Dotpoint1"/>
      </w:pPr>
      <w:r>
        <w:t>satisfying</w:t>
      </w:r>
      <w:r w:rsidR="00546592" w:rsidRPr="00546592">
        <w:t xml:space="preserve"> the corporate structure of an MNE Group</w:t>
      </w:r>
      <w:r>
        <w:t xml:space="preserve">; and </w:t>
      </w:r>
    </w:p>
    <w:p w14:paraId="49C1AAF2" w14:textId="2ABB18C4" w:rsidR="00A268D1" w:rsidRDefault="00546592" w:rsidP="009D130C">
      <w:pPr>
        <w:pStyle w:val="Dotpoint1"/>
      </w:pPr>
      <w:r w:rsidRPr="00546592">
        <w:t xml:space="preserve">the MNE Group has a consolidated annual </w:t>
      </w:r>
      <w:r w:rsidR="005915C5">
        <w:t>revenue</w:t>
      </w:r>
      <w:r w:rsidR="005915C5" w:rsidRPr="00546592">
        <w:t xml:space="preserve"> </w:t>
      </w:r>
      <w:r w:rsidRPr="00546592">
        <w:t xml:space="preserve">of at least EUR 750 million in at least 2 of the 4 Fiscal Years immediately preceding the test year. </w:t>
      </w:r>
    </w:p>
    <w:p w14:paraId="0CD02B5E" w14:textId="0E2FDBA5" w:rsidR="00546592" w:rsidRPr="003B351E" w:rsidRDefault="00546592" w:rsidP="006D3406">
      <w:pPr>
        <w:pStyle w:val="Normalparatextwithnumbers"/>
      </w:pPr>
      <w:r w:rsidRPr="00546592">
        <w:lastRenderedPageBreak/>
        <w:t>Th</w:t>
      </w:r>
      <w:r w:rsidR="00A268D1">
        <w:t>e</w:t>
      </w:r>
      <w:r w:rsidRPr="00546592">
        <w:t xml:space="preserve"> consolidated revenue threshold </w:t>
      </w:r>
      <w:r w:rsidR="00751DFF">
        <w:t>i</w:t>
      </w:r>
      <w:r w:rsidRPr="00546592">
        <w:t xml:space="preserve">s referred to as the </w:t>
      </w:r>
      <w:r w:rsidRPr="00546592">
        <w:rPr>
          <w:b/>
          <w:i/>
        </w:rPr>
        <w:t>GloBE Threshold</w:t>
      </w:r>
      <w:r w:rsidRPr="00546592">
        <w:t xml:space="preserve">. </w:t>
      </w:r>
      <w:r w:rsidRPr="00546592">
        <w:br/>
      </w:r>
      <w:r w:rsidRPr="00BD2C53">
        <w:rPr>
          <w:b/>
          <w:i/>
        </w:rPr>
        <w:t>[</w:t>
      </w:r>
      <w:r w:rsidR="00EC685C">
        <w:rPr>
          <w:b/>
          <w:i/>
        </w:rPr>
        <w:t>S</w:t>
      </w:r>
      <w:r w:rsidRPr="00BD2C53">
        <w:rPr>
          <w:b/>
          <w:i/>
        </w:rPr>
        <w:t>ection 1</w:t>
      </w:r>
      <w:r w:rsidR="004325A6" w:rsidRPr="00BD2C53">
        <w:rPr>
          <w:b/>
          <w:i/>
        </w:rPr>
        <w:t>2</w:t>
      </w:r>
      <w:r w:rsidR="003A68FD" w:rsidRPr="00BD2C53">
        <w:rPr>
          <w:b/>
          <w:i/>
        </w:rPr>
        <w:t xml:space="preserve"> of the </w:t>
      </w:r>
      <w:r w:rsidR="0085520F" w:rsidRPr="00BD2C53">
        <w:rPr>
          <w:b/>
          <w:bCs/>
          <w:i/>
          <w:iCs/>
        </w:rPr>
        <w:t xml:space="preserve">Assessment </w:t>
      </w:r>
      <w:r w:rsidR="00D64FF1">
        <w:rPr>
          <w:b/>
          <w:bCs/>
          <w:i/>
          <w:iCs/>
        </w:rPr>
        <w:t>Bill</w:t>
      </w:r>
      <w:r w:rsidRPr="00BD2C53">
        <w:rPr>
          <w:b/>
          <w:i/>
        </w:rPr>
        <w:t>]</w:t>
      </w:r>
      <w:r w:rsidRPr="00546592">
        <w:rPr>
          <w:b/>
          <w:bCs/>
          <w:i/>
          <w:iCs/>
        </w:rPr>
        <w:t xml:space="preserve"> </w:t>
      </w:r>
    </w:p>
    <w:p w14:paraId="5FAE7F86" w14:textId="75711304" w:rsidR="00317073" w:rsidRPr="00546592" w:rsidRDefault="002A7CCE" w:rsidP="006D3406">
      <w:pPr>
        <w:pStyle w:val="Normalparatextwithnumbers"/>
      </w:pPr>
      <w:r>
        <w:t>A</w:t>
      </w:r>
      <w:r w:rsidR="0008691E" w:rsidRPr="00671536">
        <w:t>n MNE Group can consist of both Constituent Entities and Ex</w:t>
      </w:r>
      <w:r w:rsidR="003852DD">
        <w:t>cluded</w:t>
      </w:r>
      <w:r w:rsidR="0008691E" w:rsidRPr="00671536">
        <w:t xml:space="preserve"> Entities.</w:t>
      </w:r>
    </w:p>
    <w:p w14:paraId="0AE51CF2" w14:textId="6D6C2B40" w:rsidR="00546592" w:rsidRPr="00546592" w:rsidRDefault="00546592" w:rsidP="00546592">
      <w:pPr>
        <w:ind w:left="709" w:hanging="709"/>
      </w:pPr>
      <w:r w:rsidRPr="00546592">
        <w:rPr>
          <w:noProof/>
        </w:rPr>
        <w:drawing>
          <wp:inline distT="0" distB="0" distL="0" distR="0" wp14:anchorId="5389FC47" wp14:editId="6FA01578">
            <wp:extent cx="4896485" cy="645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96485" cy="6451600"/>
                    </a:xfrm>
                    <a:prstGeom prst="rect">
                      <a:avLst/>
                    </a:prstGeom>
                  </pic:spPr>
                </pic:pic>
              </a:graphicData>
            </a:graphic>
          </wp:inline>
        </w:drawing>
      </w:r>
    </w:p>
    <w:p w14:paraId="3CB9B764" w14:textId="07237FFA" w:rsidR="00546592" w:rsidRPr="00546592" w:rsidRDefault="00546592" w:rsidP="00546592">
      <w:pPr>
        <w:keepNext/>
        <w:keepLines/>
        <w:spacing w:before="360" w:after="360"/>
        <w:outlineLvl w:val="1"/>
        <w:rPr>
          <w:rFonts w:ascii="Helvitica" w:eastAsiaTheme="majorEastAsia" w:hAnsi="Helvitica" w:cstheme="majorBidi" w:hint="eastAsia"/>
          <w:sz w:val="36"/>
          <w:szCs w:val="26"/>
        </w:rPr>
      </w:pPr>
      <w:bookmarkStart w:id="49" w:name="_Toc158739660"/>
      <w:bookmarkStart w:id="50" w:name="_Toc78193246"/>
      <w:bookmarkStart w:id="51" w:name="_Toc78193403"/>
      <w:bookmarkStart w:id="52" w:name="_Toc78548476"/>
      <w:bookmarkStart w:id="53" w:name="_Toc78549747"/>
      <w:bookmarkStart w:id="54" w:name="_Toc78549791"/>
      <w:r w:rsidRPr="00546592">
        <w:rPr>
          <w:rFonts w:ascii="Helvitica" w:eastAsiaTheme="majorEastAsia" w:hAnsi="Helvitica" w:cstheme="majorBidi"/>
          <w:sz w:val="36"/>
          <w:szCs w:val="26"/>
        </w:rPr>
        <w:lastRenderedPageBreak/>
        <w:t>Entities</w:t>
      </w:r>
      <w:bookmarkEnd w:id="49"/>
    </w:p>
    <w:p w14:paraId="2362CB0E" w14:textId="48A8AF58" w:rsidR="00546592" w:rsidRPr="00546592" w:rsidRDefault="00991954">
      <w:pPr>
        <w:numPr>
          <w:ilvl w:val="1"/>
          <w:numId w:val="47"/>
        </w:numPr>
      </w:pPr>
      <w:r w:rsidRPr="00546592">
        <w:t>A</w:t>
      </w:r>
      <w:r>
        <w:t>n Entity is any legal person</w:t>
      </w:r>
      <w:r w:rsidR="002D66CD">
        <w:t xml:space="preserve"> (other than a natural person)</w:t>
      </w:r>
      <w:r w:rsidRPr="00546592">
        <w:t>.</w:t>
      </w:r>
      <w:r>
        <w:t xml:space="preserve"> To ensure partnerships, trusts and other arrangements are captured, the definition of Entity </w:t>
      </w:r>
      <w:r w:rsidR="00182CA2">
        <w:t xml:space="preserve">also </w:t>
      </w:r>
      <w:r>
        <w:t xml:space="preserve">extends to an arrangement that prepares financial accounts. </w:t>
      </w:r>
      <w:r w:rsidR="00922220">
        <w:t xml:space="preserve">Given the </w:t>
      </w:r>
      <w:r w:rsidR="00FD6BB3">
        <w:t>reliance on the CFS, e</w:t>
      </w:r>
      <w:r w:rsidRPr="00546592">
        <w:t>ach Entity can only be in one MNE Group</w:t>
      </w:r>
      <w:r w:rsidR="00605B57">
        <w:t xml:space="preserve"> c</w:t>
      </w:r>
      <w:r w:rsidR="00605B57" w:rsidRPr="00605B57">
        <w:t>onsolidated on a line</w:t>
      </w:r>
      <w:r w:rsidR="00F33100">
        <w:noBreakHyphen/>
      </w:r>
      <w:r w:rsidR="00605B57" w:rsidRPr="00605B57">
        <w:t>by</w:t>
      </w:r>
      <w:r w:rsidR="00F33100">
        <w:noBreakHyphen/>
      </w:r>
      <w:r w:rsidR="00605B57" w:rsidRPr="00605B57">
        <w:t>line basis</w:t>
      </w:r>
      <w:r w:rsidR="00605B57">
        <w:t>.</w:t>
      </w:r>
      <w:r w:rsidR="00F33100">
        <w:br/>
      </w:r>
      <w:r w:rsidR="00546592" w:rsidRPr="00F33100">
        <w:rPr>
          <w:b/>
          <w:bCs/>
          <w:i/>
          <w:iCs/>
        </w:rPr>
        <w:t>[</w:t>
      </w:r>
      <w:r w:rsidR="00BC38DB">
        <w:rPr>
          <w:b/>
          <w:bCs/>
          <w:i/>
          <w:iCs/>
        </w:rPr>
        <w:t>S</w:t>
      </w:r>
      <w:r w:rsidR="005D4EBF">
        <w:rPr>
          <w:b/>
          <w:bCs/>
          <w:i/>
          <w:iCs/>
        </w:rPr>
        <w:t>ubs</w:t>
      </w:r>
      <w:r w:rsidR="00546592" w:rsidRPr="00F33100">
        <w:rPr>
          <w:b/>
          <w:bCs/>
          <w:i/>
          <w:iCs/>
        </w:rPr>
        <w:t>ections 1</w:t>
      </w:r>
      <w:r w:rsidR="00141E38" w:rsidRPr="00F33100">
        <w:rPr>
          <w:b/>
          <w:bCs/>
          <w:i/>
          <w:iCs/>
        </w:rPr>
        <w:t>3</w:t>
      </w:r>
      <w:r w:rsidR="00546592" w:rsidRPr="00F33100">
        <w:rPr>
          <w:b/>
          <w:bCs/>
          <w:i/>
          <w:iCs/>
        </w:rPr>
        <w:t>(1) and (</w:t>
      </w:r>
      <w:r w:rsidR="00B706C0" w:rsidRPr="00F33100">
        <w:rPr>
          <w:b/>
          <w:bCs/>
          <w:i/>
          <w:iCs/>
        </w:rPr>
        <w:t>2</w:t>
      </w:r>
      <w:r w:rsidR="00546592" w:rsidRPr="00F33100">
        <w:rPr>
          <w:b/>
          <w:bCs/>
          <w:i/>
          <w:iCs/>
        </w:rPr>
        <w:t>)</w:t>
      </w:r>
      <w:r w:rsidR="002A64B7" w:rsidRPr="00F33100">
        <w:rPr>
          <w:b/>
          <w:bCs/>
          <w:i/>
          <w:iCs/>
        </w:rPr>
        <w:t xml:space="preserve"> of the </w:t>
      </w:r>
      <w:r w:rsidR="0085520F">
        <w:rPr>
          <w:b/>
          <w:bCs/>
          <w:i/>
          <w:iCs/>
        </w:rPr>
        <w:t xml:space="preserve">Assessment </w:t>
      </w:r>
      <w:r w:rsidR="004F5B1B">
        <w:rPr>
          <w:b/>
          <w:bCs/>
          <w:i/>
          <w:iCs/>
        </w:rPr>
        <w:t>Bill</w:t>
      </w:r>
      <w:r w:rsidR="00546592" w:rsidRPr="00F33100">
        <w:rPr>
          <w:b/>
          <w:bCs/>
          <w:i/>
          <w:iCs/>
        </w:rPr>
        <w:t xml:space="preserve">] </w:t>
      </w:r>
    </w:p>
    <w:p w14:paraId="185F6A22" w14:textId="2C67139F" w:rsidR="00764228" w:rsidRPr="00546592" w:rsidRDefault="00F33100" w:rsidP="00F06431">
      <w:pPr>
        <w:pStyle w:val="Heading5"/>
      </w:pPr>
      <w:r>
        <w:t>UPE</w:t>
      </w:r>
    </w:p>
    <w:p w14:paraId="1F774AAF" w14:textId="2079B54A" w:rsidR="00764228" w:rsidRPr="00546592" w:rsidRDefault="00764228" w:rsidP="00764228">
      <w:pPr>
        <w:numPr>
          <w:ilvl w:val="1"/>
          <w:numId w:val="47"/>
        </w:numPr>
      </w:pPr>
      <w:r w:rsidRPr="00546592">
        <w:t xml:space="preserve">An </w:t>
      </w:r>
      <w:r w:rsidR="00F33100">
        <w:rPr>
          <w:b/>
          <w:bCs/>
          <w:i/>
          <w:iCs/>
        </w:rPr>
        <w:t>UPE</w:t>
      </w:r>
      <w:r w:rsidRPr="00546592">
        <w:t xml:space="preserve"> </w:t>
      </w:r>
      <w:r w:rsidR="00F33100">
        <w:t xml:space="preserve">can </w:t>
      </w:r>
      <w:r w:rsidRPr="00546592">
        <w:t xml:space="preserve">either </w:t>
      </w:r>
      <w:r w:rsidR="00F33100">
        <w:t xml:space="preserve">be </w:t>
      </w:r>
      <w:r w:rsidRPr="00546592">
        <w:t xml:space="preserve">a </w:t>
      </w:r>
      <w:r w:rsidRPr="00546592">
        <w:rPr>
          <w:b/>
          <w:bCs/>
          <w:i/>
          <w:iCs/>
        </w:rPr>
        <w:t>Main Entity</w:t>
      </w:r>
      <w:r w:rsidRPr="00546592">
        <w:t xml:space="preserve"> that is a UPE of a Group with </w:t>
      </w:r>
      <w:r w:rsidRPr="00F33100">
        <w:rPr>
          <w:b/>
          <w:bCs/>
          <w:i/>
          <w:iCs/>
        </w:rPr>
        <w:t>Permanent Establishments</w:t>
      </w:r>
      <w:r w:rsidRPr="00546592">
        <w:t xml:space="preserve"> in other jurisdictions or an Entity which satisfies both of the following:</w:t>
      </w:r>
    </w:p>
    <w:p w14:paraId="3E78D51F" w14:textId="77777777" w:rsidR="00764228" w:rsidRPr="00546592" w:rsidRDefault="00764228" w:rsidP="00764228">
      <w:pPr>
        <w:numPr>
          <w:ilvl w:val="0"/>
          <w:numId w:val="10"/>
        </w:numPr>
        <w:ind w:left="1418" w:hanging="709"/>
      </w:pPr>
      <w:r w:rsidRPr="00546592">
        <w:t xml:space="preserve">it directly or indirectly owns a Controlling Interest in another Entity; and </w:t>
      </w:r>
    </w:p>
    <w:p w14:paraId="3C94CCEB" w14:textId="6E526007" w:rsidR="00764228" w:rsidRPr="00546592" w:rsidRDefault="00764228" w:rsidP="00764228">
      <w:pPr>
        <w:numPr>
          <w:ilvl w:val="0"/>
          <w:numId w:val="10"/>
        </w:numPr>
        <w:ind w:left="1418" w:hanging="709"/>
      </w:pPr>
      <w:r w:rsidRPr="00546592">
        <w:t xml:space="preserve">it is not owned with a Controlling Interest directly or indirectly by another Entity. </w:t>
      </w:r>
      <w:r w:rsidRPr="00546592">
        <w:br/>
      </w:r>
      <w:r w:rsidRPr="00546592">
        <w:rPr>
          <w:b/>
          <w:bCs/>
          <w:i/>
          <w:iCs/>
        </w:rPr>
        <w:t>[</w:t>
      </w:r>
      <w:r w:rsidR="00BC38DB">
        <w:rPr>
          <w:b/>
          <w:bCs/>
          <w:i/>
          <w:iCs/>
        </w:rPr>
        <w:t>S</w:t>
      </w:r>
      <w:r w:rsidR="005D4EBF">
        <w:rPr>
          <w:b/>
          <w:bCs/>
          <w:i/>
          <w:iCs/>
        </w:rPr>
        <w:t>ubs</w:t>
      </w:r>
      <w:r w:rsidRPr="00546592">
        <w:rPr>
          <w:b/>
          <w:bCs/>
          <w:i/>
          <w:iCs/>
        </w:rPr>
        <w:t>ection 1</w:t>
      </w:r>
      <w:r>
        <w:rPr>
          <w:b/>
          <w:bCs/>
          <w:i/>
          <w:iCs/>
        </w:rPr>
        <w:t>3</w:t>
      </w:r>
      <w:r w:rsidRPr="00546592">
        <w:rPr>
          <w:b/>
          <w:bCs/>
          <w:i/>
          <w:iCs/>
        </w:rPr>
        <w:t>(</w:t>
      </w:r>
      <w:r>
        <w:rPr>
          <w:b/>
          <w:bCs/>
          <w:i/>
          <w:iCs/>
        </w:rPr>
        <w:t>3</w:t>
      </w:r>
      <w:r w:rsidRPr="00546592">
        <w:rPr>
          <w:b/>
          <w:bCs/>
          <w:i/>
          <w:iCs/>
        </w:rPr>
        <w:t>)</w:t>
      </w:r>
      <w:r w:rsidR="00936A87">
        <w:rPr>
          <w:b/>
          <w:bCs/>
          <w:i/>
          <w:iCs/>
        </w:rPr>
        <w:t xml:space="preserve"> of the </w:t>
      </w:r>
      <w:r w:rsidR="0085520F">
        <w:rPr>
          <w:b/>
          <w:bCs/>
          <w:i/>
          <w:iCs/>
        </w:rPr>
        <w:t xml:space="preserve">Assessment </w:t>
      </w:r>
      <w:r w:rsidR="004F5B1B">
        <w:rPr>
          <w:b/>
          <w:bCs/>
          <w:i/>
          <w:iCs/>
        </w:rPr>
        <w:t>Bill</w:t>
      </w:r>
      <w:r w:rsidRPr="00546592">
        <w:rPr>
          <w:b/>
          <w:bCs/>
          <w:i/>
          <w:iCs/>
        </w:rPr>
        <w:t>]</w:t>
      </w:r>
      <w:r w:rsidRPr="00546592">
        <w:t xml:space="preserve"> </w:t>
      </w:r>
    </w:p>
    <w:p w14:paraId="3386383A" w14:textId="77777777" w:rsidR="00764228" w:rsidRPr="00546592" w:rsidRDefault="00764228" w:rsidP="00764228">
      <w:pPr>
        <w:numPr>
          <w:ilvl w:val="1"/>
          <w:numId w:val="47"/>
        </w:numPr>
      </w:pPr>
      <w:r w:rsidRPr="00546592">
        <w:t>The terms ‘Controlling Interest’ and ‘Ownership Interest’ are used for different purposes within the GloBE Rules. In general, where a UPE holds a Controlling Interest in another Entity, the UPE will consolidate the Entity’s assets, liabilities, income, expenses and cash flows, on a line</w:t>
      </w:r>
      <w:r w:rsidRPr="00546592">
        <w:noBreakHyphen/>
        <w:t>by</w:t>
      </w:r>
      <w:r w:rsidRPr="00546592">
        <w:noBreakHyphen/>
        <w:t xml:space="preserve">line basis, into its CFS pursuant to the Authorised Financial Accounting Standard (AFAS). </w:t>
      </w:r>
    </w:p>
    <w:p w14:paraId="3F27CF47" w14:textId="59388301" w:rsidR="00764228" w:rsidRPr="00546592" w:rsidRDefault="00764228" w:rsidP="00764228">
      <w:pPr>
        <w:numPr>
          <w:ilvl w:val="1"/>
          <w:numId w:val="47"/>
        </w:numPr>
      </w:pPr>
      <w:r w:rsidRPr="00546592">
        <w:t>In contrast, an Ownership Interest is any equity interest that carries rights to the profits, capital or reserves of an entity, including the profits, capital or reserves of a Main Entity’s Permanent Establishment. Ownership Interest is used for the purposes of determining a Parent</w:t>
      </w:r>
      <w:r w:rsidRPr="00546592">
        <w:rPr>
          <w:b/>
          <w:bCs/>
          <w:i/>
          <w:iCs/>
        </w:rPr>
        <w:t xml:space="preserve"> </w:t>
      </w:r>
      <w:r w:rsidRPr="00546592">
        <w:t xml:space="preserve">Entity’s </w:t>
      </w:r>
      <w:r w:rsidRPr="00546592">
        <w:rPr>
          <w:b/>
          <w:bCs/>
          <w:i/>
          <w:iCs/>
        </w:rPr>
        <w:t>Allocable Share</w:t>
      </w:r>
      <w:r w:rsidRPr="00546592">
        <w:t xml:space="preserve"> of </w:t>
      </w:r>
      <w:r w:rsidR="00182CA2">
        <w:t>t</w:t>
      </w:r>
      <w:r w:rsidRPr="00546592">
        <w:t>op-</w:t>
      </w:r>
      <w:r w:rsidR="00182CA2">
        <w:t>u</w:t>
      </w:r>
      <w:r w:rsidRPr="00546592">
        <w:t xml:space="preserve">p </w:t>
      </w:r>
      <w:r w:rsidR="00182CA2">
        <w:t>t</w:t>
      </w:r>
      <w:r w:rsidRPr="00546592">
        <w:t xml:space="preserve">ax. </w:t>
      </w:r>
      <w:r w:rsidR="00C46B36">
        <w:br/>
      </w:r>
      <w:r w:rsidR="00C46B36" w:rsidRPr="00C46B36">
        <w:rPr>
          <w:rStyle w:val="References"/>
        </w:rPr>
        <w:t>[</w:t>
      </w:r>
      <w:r w:rsidR="00BC38DB">
        <w:rPr>
          <w:rStyle w:val="References"/>
        </w:rPr>
        <w:t>S</w:t>
      </w:r>
      <w:r w:rsidR="00C46B36">
        <w:rPr>
          <w:rStyle w:val="References"/>
        </w:rPr>
        <w:t xml:space="preserve">ubsections 29(2) and 30(5), (6) and (7) of the Assessment </w:t>
      </w:r>
      <w:r w:rsidR="004F5B1B">
        <w:rPr>
          <w:rStyle w:val="References"/>
        </w:rPr>
        <w:t>Bill</w:t>
      </w:r>
      <w:r w:rsidR="00C46B36" w:rsidRPr="00C46B36">
        <w:rPr>
          <w:rStyle w:val="References"/>
        </w:rPr>
        <w:t>]</w:t>
      </w:r>
      <w:r w:rsidRPr="00C46B36">
        <w:rPr>
          <w:rStyle w:val="References"/>
        </w:rPr>
        <w:t xml:space="preserve"> </w:t>
      </w:r>
    </w:p>
    <w:p w14:paraId="5D4673DF" w14:textId="77777777" w:rsidR="00546592" w:rsidRPr="00546592" w:rsidRDefault="00546592" w:rsidP="00F06431">
      <w:pPr>
        <w:pStyle w:val="Heading5"/>
        <w:rPr>
          <w:b w:val="0"/>
        </w:rPr>
      </w:pPr>
      <w:r w:rsidRPr="001776F9">
        <w:t>Constituent Entity</w:t>
      </w:r>
    </w:p>
    <w:p w14:paraId="3DF6410E" w14:textId="42AA267D" w:rsidR="00546592" w:rsidRPr="00546592" w:rsidRDefault="00546592" w:rsidP="00546592">
      <w:pPr>
        <w:numPr>
          <w:ilvl w:val="1"/>
          <w:numId w:val="27"/>
        </w:numPr>
      </w:pPr>
      <w:r w:rsidRPr="00546592">
        <w:t xml:space="preserve">A </w:t>
      </w:r>
      <w:r w:rsidRPr="00546592">
        <w:rPr>
          <w:b/>
          <w:bCs/>
          <w:i/>
          <w:iCs/>
        </w:rPr>
        <w:t>Constituent Entity</w:t>
      </w:r>
      <w:r w:rsidRPr="00546592">
        <w:t xml:space="preserve"> is</w:t>
      </w:r>
      <w:r w:rsidR="00FD6BB3">
        <w:t xml:space="preserve"> </w:t>
      </w:r>
      <w:r w:rsidRPr="00546592">
        <w:t>an</w:t>
      </w:r>
      <w:r w:rsidR="00FD6BB3">
        <w:t xml:space="preserve"> </w:t>
      </w:r>
      <w:r w:rsidR="00655207">
        <w:t>E</w:t>
      </w:r>
      <w:r w:rsidR="00FD6BB3">
        <w:t>ntity</w:t>
      </w:r>
      <w:r w:rsidRPr="00546592">
        <w:t xml:space="preserve"> that is included in the </w:t>
      </w:r>
      <w:r w:rsidR="00655207">
        <w:t xml:space="preserve">Applicable MNE </w:t>
      </w:r>
      <w:r w:rsidRPr="00546592">
        <w:t xml:space="preserve">Group. </w:t>
      </w:r>
      <w:r w:rsidR="00655207">
        <w:t>A</w:t>
      </w:r>
      <w:r w:rsidRPr="00546592">
        <w:t xml:space="preserve"> Permanent Establishment </w:t>
      </w:r>
      <w:r w:rsidR="00655207">
        <w:t xml:space="preserve">is </w:t>
      </w:r>
      <w:r w:rsidR="00156044">
        <w:t xml:space="preserve">deemed to be a </w:t>
      </w:r>
      <w:r w:rsidR="00F33100">
        <w:t>Constituent Entity</w:t>
      </w:r>
      <w:r w:rsidR="00655207">
        <w:t xml:space="preserve"> </w:t>
      </w:r>
      <w:r w:rsidR="00CA4021">
        <w:t xml:space="preserve">so that it is captured within the </w:t>
      </w:r>
      <w:r w:rsidR="00083EE8">
        <w:t xml:space="preserve">MNE </w:t>
      </w:r>
      <w:r w:rsidR="00182CA2">
        <w:t>G</w:t>
      </w:r>
      <w:r w:rsidR="00CA4021">
        <w:t>roup</w:t>
      </w:r>
      <w:r w:rsidR="00083EE8">
        <w:t xml:space="preserve"> and subject to </w:t>
      </w:r>
      <w:r w:rsidR="00182CA2">
        <w:t>t</w:t>
      </w:r>
      <w:r w:rsidR="00083EE8">
        <w:t>op</w:t>
      </w:r>
      <w:r w:rsidR="00083EE8">
        <w:noBreakHyphen/>
        <w:t xml:space="preserve">up </w:t>
      </w:r>
      <w:r w:rsidR="00182CA2">
        <w:t>t</w:t>
      </w:r>
      <w:r w:rsidR="00083EE8">
        <w:t>ax</w:t>
      </w:r>
      <w:r w:rsidRPr="00546592">
        <w:t xml:space="preserve">. </w:t>
      </w:r>
      <w:r w:rsidR="00473B55">
        <w:t>An Excluded Entity is not a Constituent Entity.</w:t>
      </w:r>
      <w:r w:rsidRPr="00546592">
        <w:br/>
      </w:r>
      <w:r w:rsidRPr="0020519F">
        <w:rPr>
          <w:b/>
          <w:bCs/>
          <w:i/>
          <w:iCs/>
        </w:rPr>
        <w:t>[</w:t>
      </w:r>
      <w:r w:rsidR="00BC38DB">
        <w:rPr>
          <w:b/>
          <w:bCs/>
          <w:i/>
          <w:iCs/>
        </w:rPr>
        <w:t>S</w:t>
      </w:r>
      <w:r w:rsidRPr="0020519F">
        <w:rPr>
          <w:b/>
          <w:bCs/>
          <w:i/>
          <w:iCs/>
        </w:rPr>
        <w:t xml:space="preserve">ection </w:t>
      </w:r>
      <w:r w:rsidR="00083EE8">
        <w:rPr>
          <w:b/>
          <w:bCs/>
          <w:i/>
          <w:iCs/>
        </w:rPr>
        <w:t>1</w:t>
      </w:r>
      <w:r w:rsidR="00C91738">
        <w:rPr>
          <w:b/>
          <w:bCs/>
          <w:i/>
          <w:iCs/>
        </w:rPr>
        <w:t>2</w:t>
      </w:r>
      <w:r w:rsidR="00083EE8">
        <w:rPr>
          <w:b/>
          <w:bCs/>
          <w:i/>
          <w:iCs/>
        </w:rPr>
        <w:t xml:space="preserve"> and </w:t>
      </w:r>
      <w:r w:rsidR="00BC38DB">
        <w:rPr>
          <w:b/>
          <w:bCs/>
          <w:i/>
          <w:iCs/>
        </w:rPr>
        <w:t>subsections</w:t>
      </w:r>
      <w:r w:rsidR="00C46B36">
        <w:rPr>
          <w:b/>
          <w:bCs/>
          <w:i/>
          <w:iCs/>
        </w:rPr>
        <w:t xml:space="preserve"> </w:t>
      </w:r>
      <w:r w:rsidRPr="0020519F">
        <w:rPr>
          <w:b/>
          <w:bCs/>
          <w:i/>
          <w:iCs/>
        </w:rPr>
        <w:t>15(</w:t>
      </w:r>
      <w:r w:rsidR="00553117">
        <w:rPr>
          <w:b/>
          <w:bCs/>
          <w:i/>
          <w:iCs/>
        </w:rPr>
        <w:t>1</w:t>
      </w:r>
      <w:r w:rsidRPr="0020519F">
        <w:rPr>
          <w:b/>
          <w:bCs/>
          <w:i/>
          <w:iCs/>
        </w:rPr>
        <w:t>)</w:t>
      </w:r>
      <w:r w:rsidR="00553117">
        <w:rPr>
          <w:b/>
          <w:bCs/>
          <w:i/>
          <w:iCs/>
        </w:rPr>
        <w:t>(b)</w:t>
      </w:r>
      <w:r w:rsidR="00C46B36">
        <w:rPr>
          <w:b/>
          <w:bCs/>
          <w:i/>
          <w:iCs/>
        </w:rPr>
        <w:t xml:space="preserve"> and </w:t>
      </w:r>
      <w:r w:rsidR="00553117">
        <w:rPr>
          <w:b/>
          <w:bCs/>
          <w:i/>
          <w:iCs/>
        </w:rPr>
        <w:t>(c)</w:t>
      </w:r>
      <w:r w:rsidR="00FD6BB3">
        <w:rPr>
          <w:b/>
          <w:bCs/>
          <w:i/>
          <w:iCs/>
        </w:rPr>
        <w:t xml:space="preserve"> of the </w:t>
      </w:r>
      <w:r w:rsidR="0085520F">
        <w:rPr>
          <w:b/>
          <w:bCs/>
          <w:i/>
          <w:iCs/>
        </w:rPr>
        <w:t xml:space="preserve">Assessment </w:t>
      </w:r>
      <w:r w:rsidR="004F5B1B">
        <w:rPr>
          <w:b/>
          <w:bCs/>
          <w:i/>
          <w:iCs/>
        </w:rPr>
        <w:t>Bill</w:t>
      </w:r>
      <w:r w:rsidRPr="0020519F">
        <w:rPr>
          <w:b/>
          <w:bCs/>
          <w:i/>
          <w:iCs/>
        </w:rPr>
        <w:t>]</w:t>
      </w:r>
      <w:r w:rsidRPr="00546592">
        <w:rPr>
          <w:b/>
          <w:bCs/>
          <w:i/>
          <w:iCs/>
        </w:rPr>
        <w:t xml:space="preserve"> </w:t>
      </w:r>
    </w:p>
    <w:p w14:paraId="6F1EAB72" w14:textId="1620351F" w:rsidR="009F7AC8" w:rsidRPr="009F7AC8" w:rsidRDefault="002E67F0" w:rsidP="00F06431">
      <w:pPr>
        <w:pStyle w:val="Heading5"/>
      </w:pPr>
      <w:r w:rsidRPr="009F7AC8">
        <w:t>Permanent establishments and main entities</w:t>
      </w:r>
    </w:p>
    <w:p w14:paraId="418C5240" w14:textId="11AB6CBA" w:rsidR="00546592" w:rsidRPr="00546592" w:rsidRDefault="00546592" w:rsidP="009F7AC8">
      <w:pPr>
        <w:numPr>
          <w:ilvl w:val="1"/>
          <w:numId w:val="47"/>
        </w:numPr>
      </w:pPr>
      <w:r w:rsidRPr="00546592">
        <w:t xml:space="preserve">A Permanent Establishment is </w:t>
      </w:r>
      <w:r w:rsidR="009F7AC8">
        <w:t>a</w:t>
      </w:r>
      <w:r w:rsidRPr="00546592">
        <w:t xml:space="preserve"> place of business of the Main Entity. It can be recognised as having taxable income attributable to it</w:t>
      </w:r>
      <w:r w:rsidR="00C46B36">
        <w:t xml:space="preserve"> for income tax purposes</w:t>
      </w:r>
      <w:r w:rsidRPr="00546592">
        <w:t>.</w:t>
      </w:r>
    </w:p>
    <w:p w14:paraId="4C531521" w14:textId="3F8EAFC2" w:rsidR="00546592" w:rsidRPr="00546592" w:rsidRDefault="00546592" w:rsidP="00546592">
      <w:pPr>
        <w:numPr>
          <w:ilvl w:val="1"/>
          <w:numId w:val="47"/>
        </w:numPr>
      </w:pPr>
      <w:r w:rsidRPr="00546592">
        <w:lastRenderedPageBreak/>
        <w:t xml:space="preserve">A Main Entity </w:t>
      </w:r>
      <w:r w:rsidR="001B391A">
        <w:t xml:space="preserve">can be a </w:t>
      </w:r>
      <w:r w:rsidR="00F33100">
        <w:t>Constituent Entity</w:t>
      </w:r>
      <w:r w:rsidR="006E44FB">
        <w:t xml:space="preserve"> subject to </w:t>
      </w:r>
      <w:r w:rsidR="00C46B36">
        <w:t>t</w:t>
      </w:r>
      <w:r w:rsidR="006E44FB">
        <w:t>op</w:t>
      </w:r>
      <w:r w:rsidR="006E44FB">
        <w:noBreakHyphen/>
      </w:r>
      <w:r w:rsidR="00C46B36">
        <w:t>u</w:t>
      </w:r>
      <w:r w:rsidR="006E44FB">
        <w:t xml:space="preserve">p </w:t>
      </w:r>
      <w:r w:rsidR="00C46B36">
        <w:t>t</w:t>
      </w:r>
      <w:r w:rsidR="006E44FB">
        <w:t>ax</w:t>
      </w:r>
      <w:r w:rsidR="001B391A">
        <w:t xml:space="preserve"> </w:t>
      </w:r>
      <w:r w:rsidR="003A4DA2">
        <w:t xml:space="preserve">and </w:t>
      </w:r>
      <w:r w:rsidRPr="00546592">
        <w:t>is the Entity that includes the income of any Permanent Establishment/s in its value and activities assessment.</w:t>
      </w:r>
      <w:r w:rsidR="00350809" w:rsidRPr="00350809">
        <w:rPr>
          <w:b/>
          <w:bCs/>
          <w:i/>
          <w:iCs/>
        </w:rPr>
        <w:t xml:space="preserve"> </w:t>
      </w:r>
      <w:r w:rsidR="00350809">
        <w:rPr>
          <w:b/>
          <w:bCs/>
          <w:i/>
          <w:iCs/>
        </w:rPr>
        <w:br/>
      </w:r>
      <w:r w:rsidR="00350809" w:rsidRPr="00546592">
        <w:rPr>
          <w:b/>
          <w:bCs/>
          <w:i/>
          <w:iCs/>
        </w:rPr>
        <w:t>[</w:t>
      </w:r>
      <w:r w:rsidR="00BC38DB">
        <w:rPr>
          <w:b/>
          <w:bCs/>
          <w:i/>
          <w:iCs/>
        </w:rPr>
        <w:t>S</w:t>
      </w:r>
      <w:r w:rsidR="00C46B36">
        <w:rPr>
          <w:b/>
          <w:bCs/>
          <w:i/>
          <w:iCs/>
        </w:rPr>
        <w:t>ubs</w:t>
      </w:r>
      <w:r w:rsidR="00350809" w:rsidRPr="00546592">
        <w:rPr>
          <w:b/>
          <w:bCs/>
          <w:i/>
          <w:iCs/>
        </w:rPr>
        <w:t>ection 1</w:t>
      </w:r>
      <w:r w:rsidR="00350809">
        <w:rPr>
          <w:b/>
          <w:bCs/>
          <w:i/>
          <w:iCs/>
        </w:rPr>
        <w:t>5</w:t>
      </w:r>
      <w:r w:rsidR="00350809" w:rsidRPr="00546592">
        <w:rPr>
          <w:b/>
          <w:bCs/>
          <w:i/>
          <w:iCs/>
        </w:rPr>
        <w:t>(3)</w:t>
      </w:r>
      <w:r w:rsidR="00350809">
        <w:rPr>
          <w:b/>
          <w:bCs/>
          <w:i/>
          <w:iCs/>
        </w:rPr>
        <w:t xml:space="preserve"> of the </w:t>
      </w:r>
      <w:r w:rsidR="0085520F">
        <w:rPr>
          <w:b/>
          <w:bCs/>
          <w:i/>
          <w:iCs/>
        </w:rPr>
        <w:t xml:space="preserve">Assessment </w:t>
      </w:r>
      <w:r w:rsidR="004F5B1B">
        <w:rPr>
          <w:b/>
          <w:bCs/>
          <w:i/>
          <w:iCs/>
        </w:rPr>
        <w:t>Bill</w:t>
      </w:r>
      <w:r w:rsidR="00350809" w:rsidRPr="00546592">
        <w:rPr>
          <w:b/>
          <w:bCs/>
          <w:i/>
          <w:iCs/>
        </w:rPr>
        <w:t>]</w:t>
      </w:r>
    </w:p>
    <w:p w14:paraId="027C3E76" w14:textId="2CEB2492" w:rsidR="00546592" w:rsidRPr="00546592" w:rsidRDefault="00546592" w:rsidP="001651D8">
      <w:pPr>
        <w:numPr>
          <w:ilvl w:val="1"/>
          <w:numId w:val="47"/>
        </w:numPr>
      </w:pPr>
      <w:r w:rsidRPr="00546592">
        <w:t xml:space="preserve">If an Entity is a Main Entity in relation to one or more Permanent Establishments located in a different jurisdiction, the Main Entity is taken to be separate from each of its </w:t>
      </w:r>
      <w:r w:rsidRPr="00F33100">
        <w:t>Permanent Establishments</w:t>
      </w:r>
      <w:r w:rsidRPr="00546592">
        <w:t xml:space="preserve"> for the purposes of this </w:t>
      </w:r>
      <w:r w:rsidR="000B21CF">
        <w:t>Bill</w:t>
      </w:r>
      <w:r w:rsidR="000B21CF" w:rsidRPr="00546592">
        <w:t xml:space="preserve"> </w:t>
      </w:r>
      <w:r w:rsidRPr="00546592">
        <w:t>and is taken to hold a Controlling Interest in each of its Permanent Establishments.</w:t>
      </w:r>
      <w:r w:rsidR="00C46B36">
        <w:br/>
      </w:r>
      <w:r w:rsidR="00C46B36" w:rsidRPr="00C46B36">
        <w:rPr>
          <w:rStyle w:val="References"/>
        </w:rPr>
        <w:t>[</w:t>
      </w:r>
      <w:r w:rsidR="00BC38DB">
        <w:rPr>
          <w:b/>
          <w:bCs/>
          <w:i/>
          <w:iCs/>
        </w:rPr>
        <w:t xml:space="preserve">Subsection </w:t>
      </w:r>
      <w:r w:rsidR="00C46B36" w:rsidRPr="00546592">
        <w:rPr>
          <w:b/>
          <w:bCs/>
          <w:i/>
          <w:iCs/>
        </w:rPr>
        <w:t>1</w:t>
      </w:r>
      <w:r w:rsidR="00C46B36">
        <w:rPr>
          <w:b/>
          <w:bCs/>
          <w:i/>
          <w:iCs/>
        </w:rPr>
        <w:t>5</w:t>
      </w:r>
      <w:r w:rsidR="00C46B36" w:rsidRPr="00546592">
        <w:rPr>
          <w:b/>
          <w:bCs/>
          <w:i/>
          <w:iCs/>
        </w:rPr>
        <w:t>(</w:t>
      </w:r>
      <w:r w:rsidR="00C46B36">
        <w:rPr>
          <w:b/>
          <w:bCs/>
          <w:i/>
          <w:iCs/>
        </w:rPr>
        <w:t>1</w:t>
      </w:r>
      <w:r w:rsidR="00C46B36" w:rsidRPr="00546592">
        <w:rPr>
          <w:b/>
          <w:bCs/>
          <w:i/>
          <w:iCs/>
        </w:rPr>
        <w:t>)</w:t>
      </w:r>
      <w:r w:rsidR="00C46B36">
        <w:rPr>
          <w:b/>
          <w:bCs/>
          <w:i/>
          <w:iCs/>
        </w:rPr>
        <w:t xml:space="preserve">(a) of the Assessment </w:t>
      </w:r>
      <w:r w:rsidR="004F5B1B">
        <w:rPr>
          <w:b/>
          <w:bCs/>
          <w:i/>
          <w:iCs/>
        </w:rPr>
        <w:t>Bill</w:t>
      </w:r>
      <w:r w:rsidR="00C46B36" w:rsidRPr="00C46B36">
        <w:rPr>
          <w:rStyle w:val="References"/>
        </w:rPr>
        <w:t xml:space="preserve">] </w:t>
      </w:r>
      <w:r w:rsidRPr="00546592">
        <w:t xml:space="preserve"> </w:t>
      </w:r>
    </w:p>
    <w:p w14:paraId="28BCDAF4" w14:textId="77777777" w:rsidR="00515AB4" w:rsidRDefault="00515AB4" w:rsidP="00515AB4">
      <w:pPr>
        <w:pStyle w:val="Heading5"/>
      </w:pPr>
      <w:r>
        <w:t xml:space="preserve">Join Ventures </w:t>
      </w:r>
    </w:p>
    <w:p w14:paraId="0E3CD2E4" w14:textId="7280180F" w:rsidR="00515AB4" w:rsidRPr="00EE4FAE" w:rsidRDefault="00515AB4" w:rsidP="00515AB4">
      <w:pPr>
        <w:pStyle w:val="Normalparatextwithnumbers"/>
        <w:rPr>
          <w:rStyle w:val="References"/>
          <w:b w:val="0"/>
          <w:bCs w:val="0"/>
          <w:i w:val="0"/>
          <w:iCs w:val="0"/>
        </w:rPr>
      </w:pPr>
      <w:r>
        <w:t xml:space="preserve">The GloBE </w:t>
      </w:r>
      <w:r w:rsidR="00C46B36">
        <w:t>R</w:t>
      </w:r>
      <w:r>
        <w:t>ules operate to capture joint venture (JV) arrangements where a UPE holds at least 50% of the ownership interests in an entity (directly or indirectly) a</w:t>
      </w:r>
      <w:r w:rsidR="00935256">
        <w:t>nd these are</w:t>
      </w:r>
      <w:r>
        <w:t xml:space="preserve"> reported under the equity method in the CFS. The </w:t>
      </w:r>
      <w:r w:rsidR="00C46B36">
        <w:t>R</w:t>
      </w:r>
      <w:r>
        <w:t xml:space="preserve">ules do not specifically capture JVs, but ensures that MNE </w:t>
      </w:r>
      <w:r w:rsidR="00C46B36">
        <w:t>G</w:t>
      </w:r>
      <w:r>
        <w:t xml:space="preserve">roup calculates </w:t>
      </w:r>
      <w:r w:rsidR="00C46B36">
        <w:t>t</w:t>
      </w:r>
      <w:r>
        <w:t>op-</w:t>
      </w:r>
      <w:r w:rsidR="00C46B36">
        <w:t>u</w:t>
      </w:r>
      <w:r>
        <w:t xml:space="preserve">p </w:t>
      </w:r>
      <w:r w:rsidR="00C46B36">
        <w:t>t</w:t>
      </w:r>
      <w:r>
        <w:t>ax in respect of a JV and any subsidiaries located in a low</w:t>
      </w:r>
      <w:r w:rsidR="00C46B36">
        <w:t>-</w:t>
      </w:r>
      <w:r>
        <w:t xml:space="preserve">taxed jurisdiction. </w:t>
      </w:r>
      <w:r>
        <w:br/>
      </w:r>
      <w:r w:rsidRPr="00D75DE9">
        <w:rPr>
          <w:rStyle w:val="References"/>
        </w:rPr>
        <w:t>[</w:t>
      </w:r>
      <w:r w:rsidR="00BC38DB">
        <w:rPr>
          <w:rStyle w:val="References"/>
        </w:rPr>
        <w:t>S</w:t>
      </w:r>
      <w:r>
        <w:rPr>
          <w:rStyle w:val="References"/>
        </w:rPr>
        <w:t>ub</w:t>
      </w:r>
      <w:r w:rsidRPr="00D75DE9">
        <w:rPr>
          <w:rStyle w:val="References"/>
        </w:rPr>
        <w:t xml:space="preserve">section </w:t>
      </w:r>
      <w:r w:rsidR="007A073B">
        <w:rPr>
          <w:rStyle w:val="References"/>
        </w:rPr>
        <w:t>17</w:t>
      </w:r>
      <w:r>
        <w:rPr>
          <w:rStyle w:val="References"/>
        </w:rPr>
        <w:t xml:space="preserve">(1) of the </w:t>
      </w:r>
      <w:r w:rsidR="0085520F">
        <w:rPr>
          <w:rStyle w:val="References"/>
        </w:rPr>
        <w:t xml:space="preserve">Assessment </w:t>
      </w:r>
      <w:r w:rsidR="004F5B1B">
        <w:rPr>
          <w:rStyle w:val="References"/>
        </w:rPr>
        <w:t>Bill</w:t>
      </w:r>
      <w:r>
        <w:rPr>
          <w:rStyle w:val="References"/>
        </w:rPr>
        <w:t xml:space="preserve">] </w:t>
      </w:r>
    </w:p>
    <w:p w14:paraId="4E731D83" w14:textId="3E6109FA" w:rsidR="00515AB4" w:rsidRDefault="00515AB4" w:rsidP="00515AB4">
      <w:pPr>
        <w:pStyle w:val="Normalparatextwithnumbers"/>
      </w:pPr>
      <w:r w:rsidRPr="00515AB4">
        <w:rPr>
          <w:rStyle w:val="References"/>
          <w:b w:val="0"/>
          <w:bCs w:val="0"/>
          <w:i w:val="0"/>
          <w:iCs w:val="0"/>
        </w:rPr>
        <w:t xml:space="preserve">A JV group may consist of the JV and any subsidiaries in that jurisdiction. JV subsidiaries includes any entities that are, or would have been, consolidated by the JV under an acceptable accounting standard. </w:t>
      </w:r>
      <w:r>
        <w:rPr>
          <w:rStyle w:val="References"/>
        </w:rPr>
        <w:br/>
        <w:t>[</w:t>
      </w:r>
      <w:r w:rsidR="00BC38DB">
        <w:rPr>
          <w:rStyle w:val="References"/>
        </w:rPr>
        <w:t>S</w:t>
      </w:r>
      <w:r>
        <w:rPr>
          <w:rStyle w:val="References"/>
        </w:rPr>
        <w:t xml:space="preserve">ubsection </w:t>
      </w:r>
      <w:r w:rsidR="008E20DB">
        <w:rPr>
          <w:rStyle w:val="References"/>
        </w:rPr>
        <w:t>17</w:t>
      </w:r>
      <w:r>
        <w:rPr>
          <w:rStyle w:val="References"/>
        </w:rPr>
        <w:t>(2)</w:t>
      </w:r>
      <w:r w:rsidRPr="00D75DE9">
        <w:rPr>
          <w:rStyle w:val="References"/>
        </w:rPr>
        <w:t xml:space="preserve"> of the </w:t>
      </w:r>
      <w:r w:rsidR="0085520F">
        <w:rPr>
          <w:rStyle w:val="References"/>
        </w:rPr>
        <w:t xml:space="preserve">Assessment </w:t>
      </w:r>
      <w:r w:rsidR="004F5B1B">
        <w:rPr>
          <w:rStyle w:val="References"/>
        </w:rPr>
        <w:t>Bill</w:t>
      </w:r>
      <w:r w:rsidRPr="00D75DE9">
        <w:rPr>
          <w:rStyle w:val="References"/>
        </w:rPr>
        <w:t>]</w:t>
      </w:r>
      <w:r w:rsidRPr="006A402D">
        <w:t xml:space="preserve">  </w:t>
      </w:r>
    </w:p>
    <w:p w14:paraId="31401CA2" w14:textId="3CE01B9A" w:rsidR="00515AB4" w:rsidRDefault="00515AB4" w:rsidP="00515AB4">
      <w:pPr>
        <w:pStyle w:val="Normalparatextwithnumbers"/>
      </w:pPr>
      <w:r>
        <w:t xml:space="preserve">Consistent with the entities that are excluded from the GloBE </w:t>
      </w:r>
      <w:r w:rsidR="00750E3A">
        <w:t>R</w:t>
      </w:r>
      <w:r>
        <w:t xml:space="preserve">ules, a JV is not an entity that is an </w:t>
      </w:r>
      <w:r w:rsidR="00C46B36">
        <w:t>E</w:t>
      </w:r>
      <w:r>
        <w:t xml:space="preserve">xcluded </w:t>
      </w:r>
      <w:r w:rsidR="00C46B36">
        <w:t>E</w:t>
      </w:r>
      <w:r>
        <w:t xml:space="preserve">ntity or where the ownership interests are directly held through an </w:t>
      </w:r>
      <w:r w:rsidR="00C46B36">
        <w:t>E</w:t>
      </w:r>
      <w:r>
        <w:t xml:space="preserve">xcluded </w:t>
      </w:r>
      <w:r w:rsidR="00C46B36">
        <w:t>E</w:t>
      </w:r>
      <w:r>
        <w:t xml:space="preserve">ntity. </w:t>
      </w:r>
      <w:r>
        <w:br/>
      </w:r>
      <w:r w:rsidRPr="005F1277">
        <w:rPr>
          <w:rStyle w:val="References"/>
        </w:rPr>
        <w:t>[</w:t>
      </w:r>
      <w:r w:rsidR="00BC38DB">
        <w:rPr>
          <w:rStyle w:val="References"/>
        </w:rPr>
        <w:t>S</w:t>
      </w:r>
      <w:r w:rsidRPr="005F1277">
        <w:rPr>
          <w:rStyle w:val="References"/>
        </w:rPr>
        <w:t xml:space="preserve">ubsection </w:t>
      </w:r>
      <w:r w:rsidR="00657579">
        <w:rPr>
          <w:rStyle w:val="References"/>
        </w:rPr>
        <w:t>17</w:t>
      </w:r>
      <w:r w:rsidRPr="005F1277">
        <w:rPr>
          <w:rStyle w:val="References"/>
        </w:rPr>
        <w:t xml:space="preserve">(2) of the </w:t>
      </w:r>
      <w:r w:rsidR="0085520F">
        <w:rPr>
          <w:rStyle w:val="References"/>
        </w:rPr>
        <w:t xml:space="preserve">Assessment </w:t>
      </w:r>
      <w:r w:rsidR="004F5B1B">
        <w:rPr>
          <w:rStyle w:val="References"/>
        </w:rPr>
        <w:t>Bill</w:t>
      </w:r>
      <w:r w:rsidRPr="005F1277">
        <w:rPr>
          <w:rStyle w:val="References"/>
        </w:rPr>
        <w:t>]</w:t>
      </w:r>
      <w:r>
        <w:t xml:space="preserve"> </w:t>
      </w:r>
    </w:p>
    <w:p w14:paraId="039737DD" w14:textId="0DA0C30B" w:rsidR="00515AB4" w:rsidRDefault="00515AB4" w:rsidP="00515AB4">
      <w:pPr>
        <w:pStyle w:val="Normalparatextwithnumbers"/>
      </w:pPr>
      <w:r>
        <w:t xml:space="preserve">The extension of the GloBE </w:t>
      </w:r>
      <w:r w:rsidR="00C46B36">
        <w:t>R</w:t>
      </w:r>
      <w:r>
        <w:t xml:space="preserve">ules to JV arrangements operates so that the </w:t>
      </w:r>
      <w:r w:rsidR="00C46B36">
        <w:t>t</w:t>
      </w:r>
      <w:r>
        <w:t>op</w:t>
      </w:r>
      <w:r w:rsidR="00D057E5">
        <w:noBreakHyphen/>
      </w:r>
      <w:r w:rsidR="00C46B36">
        <w:t>u</w:t>
      </w:r>
      <w:r>
        <w:t xml:space="preserve">p </w:t>
      </w:r>
      <w:r w:rsidR="00C46B36">
        <w:t>t</w:t>
      </w:r>
      <w:r>
        <w:t xml:space="preserve">ax of </w:t>
      </w:r>
      <w:r w:rsidR="00C46B36">
        <w:t>the</w:t>
      </w:r>
      <w:r>
        <w:t xml:space="preserve"> JV and JV subsidiaries is calculated separately </w:t>
      </w:r>
      <w:r w:rsidR="00C46B36">
        <w:t>from</w:t>
      </w:r>
      <w:r>
        <w:t xml:space="preserve"> the MNE group. The JV is to be treated as the UPE</w:t>
      </w:r>
      <w:r w:rsidR="00767C09">
        <w:t xml:space="preserve"> of a separate MNE Group</w:t>
      </w:r>
      <w:r>
        <w:t xml:space="preserve">. The </w:t>
      </w:r>
      <w:r w:rsidR="00C46B36">
        <w:t>R</w:t>
      </w:r>
      <w:r>
        <w:t>ules outlined in Part 3 to Part 7, Part 8</w:t>
      </w:r>
      <w:r>
        <w:noBreakHyphen/>
        <w:t>2, 9</w:t>
      </w:r>
      <w:r>
        <w:noBreakHyphen/>
        <w:t>1 and 9</w:t>
      </w:r>
      <w:r>
        <w:noBreakHyphen/>
        <w:t xml:space="preserve">2 of the </w:t>
      </w:r>
      <w:r w:rsidR="0085520F">
        <w:t xml:space="preserve">Assessment </w:t>
      </w:r>
      <w:r w:rsidR="004F5B1B">
        <w:t>Bill</w:t>
      </w:r>
      <w:r>
        <w:t xml:space="preserve"> apply to JVs when computing </w:t>
      </w:r>
      <w:r w:rsidR="00C46B36">
        <w:t>t</w:t>
      </w:r>
      <w:r>
        <w:t>op-</w:t>
      </w:r>
      <w:r w:rsidR="00C46B36">
        <w:t>u</w:t>
      </w:r>
      <w:r>
        <w:t xml:space="preserve">p </w:t>
      </w:r>
      <w:r w:rsidR="00C46B36">
        <w:t>t</w:t>
      </w:r>
      <w:r>
        <w:t xml:space="preserve">ax separately </w:t>
      </w:r>
      <w:r w:rsidR="00C46B36">
        <w:t>from</w:t>
      </w:r>
      <w:r>
        <w:t xml:space="preserve"> the </w:t>
      </w:r>
      <w:r w:rsidR="00C46B36">
        <w:t xml:space="preserve">MNE </w:t>
      </w:r>
      <w:r w:rsidR="00750E3A">
        <w:t>G</w:t>
      </w:r>
      <w:r>
        <w:t xml:space="preserve">roup. This is to ensure that the GloBE income or loss and covered taxes of the JV and JV subsidiaries are not combined with the </w:t>
      </w:r>
      <w:r w:rsidR="00C46B36">
        <w:t>C</w:t>
      </w:r>
      <w:r>
        <w:t xml:space="preserve">onstituent </w:t>
      </w:r>
      <w:r w:rsidR="00C46B36">
        <w:t>E</w:t>
      </w:r>
      <w:r>
        <w:t xml:space="preserve">ntities of the broader MNE </w:t>
      </w:r>
      <w:r w:rsidR="00750E3A">
        <w:t>G</w:t>
      </w:r>
      <w:r>
        <w:t xml:space="preserve">roup.  </w:t>
      </w:r>
    </w:p>
    <w:p w14:paraId="48DE9315" w14:textId="0399437A" w:rsidR="00515AB4" w:rsidRPr="00515AB4" w:rsidRDefault="00515AB4">
      <w:pPr>
        <w:pStyle w:val="Normalparatextwithnumbers"/>
      </w:pPr>
      <w:r>
        <w:t xml:space="preserve">Only </w:t>
      </w:r>
      <w:r w:rsidR="00C46B36">
        <w:t>P</w:t>
      </w:r>
      <w:r>
        <w:t xml:space="preserve">arent </w:t>
      </w:r>
      <w:r w:rsidR="00C46B36">
        <w:t>E</w:t>
      </w:r>
      <w:r>
        <w:t xml:space="preserve">ntities with ownership interests in the JV or JV subsidiaries </w:t>
      </w:r>
      <w:r w:rsidR="00C46B36">
        <w:t>can be liable</w:t>
      </w:r>
      <w:r>
        <w:t xml:space="preserve"> to IIR </w:t>
      </w:r>
      <w:r w:rsidR="003B63E6">
        <w:t>t</w:t>
      </w:r>
      <w:r w:rsidR="00C56734">
        <w:t>op</w:t>
      </w:r>
      <w:r>
        <w:t>-</w:t>
      </w:r>
      <w:r w:rsidR="00C56734">
        <w:t>up</w:t>
      </w:r>
      <w:r>
        <w:t xml:space="preserve"> </w:t>
      </w:r>
      <w:r w:rsidR="003B63E6">
        <w:t>t</w:t>
      </w:r>
      <w:r w:rsidR="00C56734">
        <w:t>ax, which is</w:t>
      </w:r>
      <w:r>
        <w:t xml:space="preserve"> allocate</w:t>
      </w:r>
      <w:r w:rsidR="00C56734">
        <w:t>d</w:t>
      </w:r>
      <w:r>
        <w:t xml:space="preserve"> based on its allocable share.</w:t>
      </w:r>
    </w:p>
    <w:p w14:paraId="64195DCC" w14:textId="77777777" w:rsidR="00546592" w:rsidRPr="00546592" w:rsidRDefault="00546592" w:rsidP="00515AB4">
      <w:pPr>
        <w:pStyle w:val="Heading5"/>
        <w:numPr>
          <w:ilvl w:val="0"/>
          <w:numId w:val="0"/>
        </w:numPr>
        <w:rPr>
          <w:b w:val="0"/>
        </w:rPr>
      </w:pPr>
      <w:r w:rsidRPr="00546592">
        <w:t>Excluded Entity</w:t>
      </w:r>
    </w:p>
    <w:p w14:paraId="3C304848" w14:textId="4C66EE43" w:rsidR="00546592" w:rsidRPr="00546592" w:rsidRDefault="00546592" w:rsidP="00546592">
      <w:pPr>
        <w:numPr>
          <w:ilvl w:val="1"/>
          <w:numId w:val="47"/>
        </w:numPr>
      </w:pPr>
      <w:r w:rsidRPr="00546592">
        <w:t xml:space="preserve">An </w:t>
      </w:r>
      <w:r w:rsidRPr="00546592">
        <w:rPr>
          <w:b/>
          <w:i/>
        </w:rPr>
        <w:t>Excluded Entity</w:t>
      </w:r>
      <w:r w:rsidRPr="00546592">
        <w:t xml:space="preserve"> is a type of Entity. Broadly, the operative provisions of </w:t>
      </w:r>
      <w:r w:rsidR="00C56734">
        <w:t xml:space="preserve">the </w:t>
      </w:r>
      <w:r w:rsidRPr="00546592">
        <w:t xml:space="preserve">GloBE Rules do not apply to an Excluded Entity. However, its revenue is </w:t>
      </w:r>
      <w:r w:rsidRPr="00546592">
        <w:lastRenderedPageBreak/>
        <w:t xml:space="preserve">included in ascertaining whether the EUR 750 million </w:t>
      </w:r>
      <w:r w:rsidR="00C56734">
        <w:t>GloBE</w:t>
      </w:r>
      <w:r w:rsidRPr="00546592">
        <w:t xml:space="preserve"> </w:t>
      </w:r>
      <w:r w:rsidR="00C56734">
        <w:t>T</w:t>
      </w:r>
      <w:r w:rsidRPr="00546592">
        <w:t>hreshold has been satisfied.</w:t>
      </w:r>
    </w:p>
    <w:p w14:paraId="2351BE96" w14:textId="35312C83" w:rsidR="00546592" w:rsidRPr="00546592" w:rsidRDefault="00546592" w:rsidP="00546592">
      <w:pPr>
        <w:numPr>
          <w:ilvl w:val="1"/>
          <w:numId w:val="47"/>
        </w:numPr>
      </w:pPr>
      <w:r w:rsidRPr="00546592">
        <w:rPr>
          <w:b/>
          <w:bCs/>
          <w:i/>
          <w:iCs/>
        </w:rPr>
        <w:t>Excluded Entities</w:t>
      </w:r>
      <w:r w:rsidRPr="00546592">
        <w:t xml:space="preserve"> who are members of an MNE Group are excluded from the operation of GloBE Rules and are therefore not</w:t>
      </w:r>
      <w:r w:rsidRPr="00546592" w:rsidDel="00AC208C">
        <w:t xml:space="preserve"> </w:t>
      </w:r>
      <w:r w:rsidRPr="00546592">
        <w:t xml:space="preserve">Constituent Entities. In particular, </w:t>
      </w:r>
      <w:r w:rsidR="00495693">
        <w:t>an Excluded Entity</w:t>
      </w:r>
      <w:r w:rsidRPr="00546592">
        <w:t xml:space="preserve"> cannot be liable to </w:t>
      </w:r>
      <w:r w:rsidR="00495693">
        <w:t>t</w:t>
      </w:r>
      <w:r w:rsidRPr="00546592">
        <w:t>op-</w:t>
      </w:r>
      <w:r w:rsidR="00495693">
        <w:t>u</w:t>
      </w:r>
      <w:r w:rsidRPr="00546592">
        <w:t xml:space="preserve">p </w:t>
      </w:r>
      <w:r w:rsidR="00495693">
        <w:t>t</w:t>
      </w:r>
      <w:r w:rsidRPr="00546592">
        <w:t xml:space="preserve">ax. Subsidiaries of Excluded Entities that are not of a type listed in </w:t>
      </w:r>
      <w:r w:rsidR="00D057E5">
        <w:t>sub</w:t>
      </w:r>
      <w:r w:rsidR="00284066">
        <w:t>section 1</w:t>
      </w:r>
      <w:r w:rsidR="001F061C">
        <w:t>6(2)</w:t>
      </w:r>
      <w:r w:rsidR="00F85BE9">
        <w:t xml:space="preserve"> of the </w:t>
      </w:r>
      <w:r w:rsidR="0085520F">
        <w:t xml:space="preserve">Assessment </w:t>
      </w:r>
      <w:r w:rsidR="004F5B1B">
        <w:t>Bill</w:t>
      </w:r>
      <w:r w:rsidRPr="00546592">
        <w:t xml:space="preserve"> and that do not satisfy the general test of an Excluded Entity in </w:t>
      </w:r>
      <w:r w:rsidR="00200B1F" w:rsidRPr="001514AD">
        <w:t xml:space="preserve">section </w:t>
      </w:r>
      <w:r w:rsidR="00F85BE9" w:rsidRPr="001514AD">
        <w:t>1</w:t>
      </w:r>
      <w:r w:rsidR="00D94257" w:rsidRPr="001514AD">
        <w:t>6</w:t>
      </w:r>
      <w:r w:rsidRPr="00546592">
        <w:t xml:space="preserve"> </w:t>
      </w:r>
      <w:r w:rsidR="00DD1ACB">
        <w:t xml:space="preserve">of the Assessment </w:t>
      </w:r>
      <w:r w:rsidR="004F5B1B">
        <w:t>Bill</w:t>
      </w:r>
      <w:r w:rsidRPr="00546592">
        <w:t xml:space="preserve"> will not be considered an Excluded Entity. </w:t>
      </w:r>
      <w:r w:rsidR="005C4528">
        <w:br/>
      </w:r>
      <w:r w:rsidR="005C4528" w:rsidRPr="00D94257">
        <w:rPr>
          <w:rStyle w:val="References"/>
        </w:rPr>
        <w:t>[</w:t>
      </w:r>
      <w:r w:rsidR="001514AD">
        <w:rPr>
          <w:rStyle w:val="References"/>
        </w:rPr>
        <w:t>S</w:t>
      </w:r>
      <w:r w:rsidR="00D94257">
        <w:rPr>
          <w:rStyle w:val="References"/>
        </w:rPr>
        <w:t xml:space="preserve">ection 16 of the </w:t>
      </w:r>
      <w:r w:rsidR="0085520F">
        <w:rPr>
          <w:rStyle w:val="References"/>
        </w:rPr>
        <w:t xml:space="preserve">Assessment </w:t>
      </w:r>
      <w:r w:rsidR="004F5B1B">
        <w:rPr>
          <w:rStyle w:val="References"/>
        </w:rPr>
        <w:t>Bill</w:t>
      </w:r>
      <w:r w:rsidR="005C4528" w:rsidRPr="00D94257">
        <w:rPr>
          <w:rStyle w:val="References"/>
        </w:rPr>
        <w:t>]</w:t>
      </w:r>
    </w:p>
    <w:p w14:paraId="12093E76" w14:textId="25770224" w:rsidR="00546592" w:rsidRPr="00546592" w:rsidRDefault="00143B1C" w:rsidP="00546592">
      <w:pPr>
        <w:numPr>
          <w:ilvl w:val="1"/>
          <w:numId w:val="47"/>
        </w:numPr>
      </w:pPr>
      <w:r w:rsidRPr="00143B1C">
        <w:t>An Excluded Entity cannot be a Partially Owned Parent Entity</w:t>
      </w:r>
      <w:r w:rsidR="00546592" w:rsidRPr="00546592">
        <w:t xml:space="preserve"> </w:t>
      </w:r>
      <w:r w:rsidR="002348A6">
        <w:t>or</w:t>
      </w:r>
      <w:r w:rsidRPr="00143B1C">
        <w:t xml:space="preserve"> an Intermediate Parent Entity</w:t>
      </w:r>
      <w:r w:rsidR="00D94257">
        <w:t xml:space="preserve"> </w:t>
      </w:r>
      <w:r w:rsidR="00546592" w:rsidRPr="00546592">
        <w:t xml:space="preserve">because an IPE </w:t>
      </w:r>
      <w:r w:rsidR="002348A6">
        <w:t>and</w:t>
      </w:r>
      <w:r w:rsidR="00546592" w:rsidRPr="00546592">
        <w:t xml:space="preserve"> a POPE </w:t>
      </w:r>
      <w:r w:rsidR="002348A6">
        <w:t>are</w:t>
      </w:r>
      <w:r w:rsidR="00546592" w:rsidRPr="00546592">
        <w:t xml:space="preserve"> Constituent Entit</w:t>
      </w:r>
      <w:r w:rsidR="002348A6">
        <w:t>ies</w:t>
      </w:r>
      <w:r w:rsidR="00546592" w:rsidRPr="00546592">
        <w:t xml:space="preserve"> and </w:t>
      </w:r>
      <w:r w:rsidR="00200B1F" w:rsidRPr="00200B1F">
        <w:t>s</w:t>
      </w:r>
      <w:r w:rsidR="00200B1F" w:rsidRPr="00D94257">
        <w:t>ection 1</w:t>
      </w:r>
      <w:r w:rsidR="00D94257">
        <w:t>6</w:t>
      </w:r>
      <w:r w:rsidR="00200B1F">
        <w:t xml:space="preserve"> </w:t>
      </w:r>
      <w:r w:rsidR="00D057E5">
        <w:t xml:space="preserve">of the Assessment </w:t>
      </w:r>
      <w:r w:rsidR="004F5B1B">
        <w:t>Bill</w:t>
      </w:r>
      <w:r w:rsidR="00546592">
        <w:rPr>
          <w:b/>
          <w:i/>
        </w:rPr>
        <w:t xml:space="preserve"> </w:t>
      </w:r>
      <w:r w:rsidR="00546592" w:rsidRPr="00546592">
        <w:t>states that an E</w:t>
      </w:r>
      <w:r w:rsidR="008A6548">
        <w:t xml:space="preserve">xcluded </w:t>
      </w:r>
      <w:r w:rsidR="00546592" w:rsidRPr="00546592">
        <w:t>E</w:t>
      </w:r>
      <w:r w:rsidR="008A6548">
        <w:t>ntity</w:t>
      </w:r>
      <w:r w:rsidR="00546592" w:rsidRPr="00546592">
        <w:t xml:space="preserve"> is not a Constituent Entity.</w:t>
      </w:r>
    </w:p>
    <w:p w14:paraId="07ADF0AA" w14:textId="57175F43" w:rsidR="00546592" w:rsidRPr="00546592" w:rsidRDefault="00546592" w:rsidP="00546592">
      <w:pPr>
        <w:numPr>
          <w:ilvl w:val="1"/>
          <w:numId w:val="27"/>
        </w:numPr>
      </w:pPr>
      <w:r w:rsidRPr="00546592">
        <w:t xml:space="preserve">Where an MNE Group is composed entirely of Excluded Entities, the entire MNE Group would be excluded from the </w:t>
      </w:r>
      <w:r w:rsidR="00750E3A">
        <w:t>operation of</w:t>
      </w:r>
      <w:r w:rsidRPr="00546592">
        <w:t xml:space="preserve"> the </w:t>
      </w:r>
      <w:r w:rsidR="00750E3A">
        <w:t xml:space="preserve">Assessment </w:t>
      </w:r>
      <w:r w:rsidR="004F5B1B">
        <w:t>Bill</w:t>
      </w:r>
      <w:r w:rsidRPr="00546592">
        <w:t xml:space="preserve">. </w:t>
      </w:r>
    </w:p>
    <w:p w14:paraId="36F65B49" w14:textId="0780AFB0" w:rsidR="00546592" w:rsidRPr="00546592" w:rsidRDefault="00546592" w:rsidP="00546592">
      <w:pPr>
        <w:numPr>
          <w:ilvl w:val="1"/>
          <w:numId w:val="27"/>
        </w:numPr>
      </w:pPr>
      <w:r w:rsidRPr="00546592">
        <w:t>The practical effects of an Entity being characterised as an Excluded Entity is that the IIR</w:t>
      </w:r>
      <w:r w:rsidR="000619B6">
        <w:t xml:space="preserve">, </w:t>
      </w:r>
      <w:r w:rsidRPr="00546592">
        <w:t xml:space="preserve">UTPR </w:t>
      </w:r>
      <w:r w:rsidR="000619B6">
        <w:t>and DMT</w:t>
      </w:r>
      <w:r w:rsidRPr="00546592">
        <w:t xml:space="preserve"> do not apply to Excluded Entities</w:t>
      </w:r>
      <w:r w:rsidR="00537E81">
        <w:t>. Th</w:t>
      </w:r>
      <w:r w:rsidRPr="00546592">
        <w:t>e GloBE attributes of Excluded Entities are removed from the various computation</w:t>
      </w:r>
      <w:r w:rsidR="00537E81">
        <w:t>s</w:t>
      </w:r>
      <w:r w:rsidRPr="00546592">
        <w:t xml:space="preserve"> under </w:t>
      </w:r>
      <w:r w:rsidR="00537E81">
        <w:t>T</w:t>
      </w:r>
      <w:r w:rsidRPr="00546592">
        <w:t xml:space="preserve">he Rules (except for the purposes of assessing the </w:t>
      </w:r>
      <w:r w:rsidR="00FF281F">
        <w:t>GloBE</w:t>
      </w:r>
      <w:r w:rsidRPr="00546592">
        <w:t xml:space="preserve"> </w:t>
      </w:r>
      <w:r w:rsidR="00FF281F">
        <w:t>T</w:t>
      </w:r>
      <w:r w:rsidRPr="00546592">
        <w:t xml:space="preserve">hreshold of the MNE Group), and the Excluded Entities do not have any administrative obligations, such as the filing of a GloBE Information Return. </w:t>
      </w:r>
    </w:p>
    <w:p w14:paraId="2418DBD5" w14:textId="3662C20C" w:rsidR="00546592" w:rsidRPr="00546592" w:rsidRDefault="00546592" w:rsidP="00546592">
      <w:pPr>
        <w:numPr>
          <w:ilvl w:val="1"/>
          <w:numId w:val="27"/>
        </w:numPr>
      </w:pPr>
      <w:r w:rsidRPr="00546592">
        <w:t>The following entities are defined as Excluded Entit</w:t>
      </w:r>
      <w:r w:rsidR="00FF281F">
        <w:t>ies</w:t>
      </w:r>
      <w:r w:rsidRPr="00546592">
        <w:t xml:space="preserve">: </w:t>
      </w:r>
    </w:p>
    <w:p w14:paraId="68B64BD3" w14:textId="77777777" w:rsidR="00546592" w:rsidRPr="00546592" w:rsidRDefault="00546592" w:rsidP="002445E2">
      <w:pPr>
        <w:pStyle w:val="Dotpoint1"/>
      </w:pPr>
      <w:r w:rsidRPr="00546592">
        <w:t>a Governmental Entity;</w:t>
      </w:r>
    </w:p>
    <w:p w14:paraId="3487C880" w14:textId="77777777" w:rsidR="00546592" w:rsidRPr="00546592" w:rsidRDefault="00546592" w:rsidP="002445E2">
      <w:pPr>
        <w:pStyle w:val="Dotpoint1"/>
      </w:pPr>
      <w:r w:rsidRPr="00546592">
        <w:t>an International Organisation;</w:t>
      </w:r>
    </w:p>
    <w:p w14:paraId="5823B116" w14:textId="77777777" w:rsidR="00546592" w:rsidRPr="00546592" w:rsidRDefault="00546592" w:rsidP="002445E2">
      <w:pPr>
        <w:pStyle w:val="Dotpoint1"/>
      </w:pPr>
      <w:r w:rsidRPr="00546592">
        <w:t>a Non-profit Organisation;</w:t>
      </w:r>
    </w:p>
    <w:p w14:paraId="6C4D89FB" w14:textId="77777777" w:rsidR="00546592" w:rsidRPr="00546592" w:rsidRDefault="00546592" w:rsidP="002445E2">
      <w:pPr>
        <w:pStyle w:val="Dotpoint1"/>
      </w:pPr>
      <w:r w:rsidRPr="00546592">
        <w:t>a Pension Fund;</w:t>
      </w:r>
    </w:p>
    <w:p w14:paraId="75B35F16" w14:textId="7EF31CAB" w:rsidR="00546592" w:rsidRPr="00546592" w:rsidRDefault="00546592" w:rsidP="002445E2">
      <w:pPr>
        <w:pStyle w:val="Dotpoint1"/>
      </w:pPr>
      <w:r w:rsidRPr="00546592">
        <w:t xml:space="preserve">an Investment Fund that is an </w:t>
      </w:r>
      <w:r w:rsidR="00F33100">
        <w:t>UPE</w:t>
      </w:r>
      <w:r w:rsidRPr="00546592">
        <w:t>; or</w:t>
      </w:r>
    </w:p>
    <w:p w14:paraId="7D53C766" w14:textId="40B91A89" w:rsidR="00546592" w:rsidRPr="00546592" w:rsidRDefault="00546592" w:rsidP="002445E2">
      <w:pPr>
        <w:pStyle w:val="Dotpoint1"/>
      </w:pPr>
      <w:r w:rsidRPr="00546592">
        <w:t xml:space="preserve">a Real Estate Investment Vehicle that is an </w:t>
      </w:r>
      <w:r w:rsidR="00F33100">
        <w:t>UPE</w:t>
      </w:r>
      <w:r w:rsidRPr="00546592">
        <w:t>;</w:t>
      </w:r>
    </w:p>
    <w:p w14:paraId="1215905D" w14:textId="77777777" w:rsidR="00546592" w:rsidRPr="00546592" w:rsidRDefault="00546592" w:rsidP="002445E2">
      <w:pPr>
        <w:pStyle w:val="Dotpoint1"/>
      </w:pPr>
      <w:r w:rsidRPr="00546592">
        <w:t>an Excluded Service Entity;</w:t>
      </w:r>
    </w:p>
    <w:p w14:paraId="60500072" w14:textId="77777777" w:rsidR="00546592" w:rsidRPr="00546592" w:rsidRDefault="00546592" w:rsidP="002445E2">
      <w:pPr>
        <w:pStyle w:val="Dotpoint1"/>
      </w:pPr>
      <w:r w:rsidRPr="00546592">
        <w:t>an Excluded Exempt Income Entity;</w:t>
      </w:r>
    </w:p>
    <w:p w14:paraId="782E0C3F" w14:textId="4DFD30F9" w:rsidR="00546592" w:rsidRPr="00546592" w:rsidRDefault="00546592" w:rsidP="002445E2">
      <w:pPr>
        <w:pStyle w:val="Dotpoint1"/>
      </w:pPr>
      <w:r w:rsidRPr="00546592">
        <w:t>an Excluded Non-Profit Subsidiary.</w:t>
      </w:r>
      <w:r w:rsidRPr="00546592">
        <w:br/>
      </w:r>
      <w:r w:rsidRPr="00546592">
        <w:rPr>
          <w:b/>
          <w:bCs/>
          <w:i/>
          <w:iCs/>
        </w:rPr>
        <w:t>[</w:t>
      </w:r>
      <w:r w:rsidR="001514AD">
        <w:rPr>
          <w:b/>
          <w:bCs/>
          <w:i/>
          <w:iCs/>
        </w:rPr>
        <w:t>S</w:t>
      </w:r>
      <w:r w:rsidR="00FF281F">
        <w:rPr>
          <w:b/>
          <w:bCs/>
          <w:i/>
          <w:iCs/>
        </w:rPr>
        <w:t>ubs</w:t>
      </w:r>
      <w:r w:rsidRPr="00546592">
        <w:rPr>
          <w:b/>
          <w:bCs/>
          <w:i/>
          <w:iCs/>
        </w:rPr>
        <w:t>ection 1</w:t>
      </w:r>
      <w:r w:rsidR="00907E70">
        <w:rPr>
          <w:b/>
          <w:bCs/>
          <w:i/>
          <w:iCs/>
        </w:rPr>
        <w:t>6</w:t>
      </w:r>
      <w:r w:rsidRPr="00546592">
        <w:rPr>
          <w:b/>
          <w:bCs/>
          <w:i/>
          <w:iCs/>
        </w:rPr>
        <w:t>(2)</w:t>
      </w:r>
      <w:r w:rsidR="00FF281F">
        <w:rPr>
          <w:b/>
          <w:bCs/>
          <w:i/>
          <w:iCs/>
        </w:rPr>
        <w:t xml:space="preserve"> </w:t>
      </w:r>
      <w:r w:rsidR="00FD3000">
        <w:rPr>
          <w:b/>
          <w:bCs/>
          <w:i/>
          <w:iCs/>
        </w:rPr>
        <w:t xml:space="preserve">of the </w:t>
      </w:r>
      <w:r w:rsidR="0085520F">
        <w:rPr>
          <w:b/>
          <w:bCs/>
          <w:i/>
          <w:iCs/>
        </w:rPr>
        <w:t xml:space="preserve">Assessment </w:t>
      </w:r>
      <w:r w:rsidR="004F5B1B">
        <w:rPr>
          <w:b/>
          <w:bCs/>
          <w:i/>
          <w:iCs/>
        </w:rPr>
        <w:t>Bill</w:t>
      </w:r>
      <w:r w:rsidRPr="00546592">
        <w:rPr>
          <w:b/>
          <w:bCs/>
          <w:i/>
          <w:iCs/>
        </w:rPr>
        <w:t>]</w:t>
      </w:r>
    </w:p>
    <w:p w14:paraId="41E6C4CE" w14:textId="3AD049E7" w:rsidR="00C20FE7" w:rsidRPr="00546592" w:rsidRDefault="00C20FE7" w:rsidP="00C20FE7">
      <w:pPr>
        <w:keepNext/>
        <w:keepLines/>
        <w:spacing w:before="240"/>
        <w:outlineLvl w:val="5"/>
        <w:rPr>
          <w:rFonts w:ascii="Helvitica" w:eastAsiaTheme="majorEastAsia" w:hAnsi="Helvitica" w:cstheme="majorBidi" w:hint="eastAsia"/>
          <w:i/>
        </w:rPr>
      </w:pPr>
      <w:r w:rsidRPr="00546592">
        <w:rPr>
          <w:rFonts w:ascii="Helvitica" w:eastAsiaTheme="majorEastAsia" w:hAnsi="Helvitica" w:cstheme="majorBidi"/>
          <w:i/>
        </w:rPr>
        <w:t>Sovereign wealth funds and Government Entities</w:t>
      </w:r>
    </w:p>
    <w:p w14:paraId="4D18E52F" w14:textId="39C8034D" w:rsidR="00C20FE7" w:rsidRPr="00546592" w:rsidRDefault="00C20FE7" w:rsidP="00C20FE7">
      <w:pPr>
        <w:numPr>
          <w:ilvl w:val="1"/>
          <w:numId w:val="27"/>
        </w:numPr>
      </w:pPr>
      <w:r w:rsidRPr="00546592">
        <w:t xml:space="preserve">Sovereign wealth funds are deemed not to own a Controlling Interest in an Entity in which it has an ownership interest. Because </w:t>
      </w:r>
      <w:r w:rsidR="00DF40CE">
        <w:t xml:space="preserve">some </w:t>
      </w:r>
      <w:r w:rsidRPr="00546592">
        <w:t>sovereign wealth funds have a controlling interest, it is possible for a UPE to be controlled by a sovereign wealth fund</w:t>
      </w:r>
      <w:r w:rsidR="0023617C">
        <w:t xml:space="preserve"> </w:t>
      </w:r>
      <w:r w:rsidR="0023617C" w:rsidRPr="0023617C">
        <w:t>and included in the CFS of</w:t>
      </w:r>
      <w:r w:rsidR="0023617C">
        <w:t xml:space="preserve"> a sovereign wealth fund</w:t>
      </w:r>
      <w:r w:rsidRPr="00546592">
        <w:t xml:space="preserve">. </w:t>
      </w:r>
    </w:p>
    <w:p w14:paraId="4F1D0774" w14:textId="5736085A" w:rsidR="00C20FE7" w:rsidRPr="00546592" w:rsidRDefault="00C20FE7" w:rsidP="00C20FE7">
      <w:pPr>
        <w:numPr>
          <w:ilvl w:val="1"/>
          <w:numId w:val="27"/>
        </w:numPr>
      </w:pPr>
      <w:r w:rsidRPr="00546592">
        <w:lastRenderedPageBreak/>
        <w:t>A sovereign wealth fund which meets the definition of a Government Entity under the GloBE Rules cannot be a UPE</w:t>
      </w:r>
      <w:r w:rsidR="00CA0805">
        <w:t xml:space="preserve"> </w:t>
      </w:r>
      <w:r w:rsidR="00285308">
        <w:t>and will not be considered part of</w:t>
      </w:r>
      <w:r w:rsidR="00CA0805">
        <w:t xml:space="preserve"> a MNE Group</w:t>
      </w:r>
      <w:r w:rsidRPr="00546592">
        <w:t>. Sovereign wealth funds are generally established to hold or manage investments on behalf of the government or jurisdiction.</w:t>
      </w:r>
      <w:r w:rsidRPr="00546592">
        <w:br/>
      </w:r>
      <w:r w:rsidRPr="00546592">
        <w:rPr>
          <w:b/>
          <w:bCs/>
          <w:i/>
          <w:iCs/>
        </w:rPr>
        <w:t>[</w:t>
      </w:r>
      <w:r w:rsidR="001514AD">
        <w:rPr>
          <w:b/>
          <w:bCs/>
          <w:i/>
          <w:iCs/>
        </w:rPr>
        <w:t>S</w:t>
      </w:r>
      <w:r w:rsidR="00677546">
        <w:rPr>
          <w:b/>
          <w:bCs/>
          <w:i/>
          <w:iCs/>
        </w:rPr>
        <w:t>ub</w:t>
      </w:r>
      <w:r w:rsidR="001C3D61">
        <w:rPr>
          <w:b/>
          <w:bCs/>
          <w:i/>
          <w:iCs/>
        </w:rPr>
        <w:t>s</w:t>
      </w:r>
      <w:r w:rsidRPr="00546592">
        <w:rPr>
          <w:b/>
          <w:bCs/>
          <w:i/>
          <w:iCs/>
        </w:rPr>
        <w:t>ection 1</w:t>
      </w:r>
      <w:r>
        <w:rPr>
          <w:b/>
          <w:bCs/>
          <w:i/>
          <w:iCs/>
        </w:rPr>
        <w:t>3</w:t>
      </w:r>
      <w:r w:rsidRPr="00546592">
        <w:rPr>
          <w:b/>
          <w:bCs/>
          <w:i/>
          <w:iCs/>
        </w:rPr>
        <w:t>(2)</w:t>
      </w:r>
      <w:r w:rsidR="003257C6">
        <w:rPr>
          <w:b/>
          <w:bCs/>
          <w:i/>
          <w:iCs/>
        </w:rPr>
        <w:t xml:space="preserve"> of the </w:t>
      </w:r>
      <w:r w:rsidR="0085520F">
        <w:rPr>
          <w:b/>
          <w:bCs/>
          <w:i/>
          <w:iCs/>
        </w:rPr>
        <w:t xml:space="preserve">Assessment </w:t>
      </w:r>
      <w:r w:rsidR="004F5B1B">
        <w:rPr>
          <w:b/>
          <w:bCs/>
          <w:i/>
          <w:iCs/>
        </w:rPr>
        <w:t>Bill</w:t>
      </w:r>
      <w:r w:rsidRPr="00546592">
        <w:rPr>
          <w:b/>
          <w:bCs/>
          <w:i/>
          <w:iCs/>
        </w:rPr>
        <w:t xml:space="preserve">] </w:t>
      </w:r>
    </w:p>
    <w:p w14:paraId="27B3BCA4" w14:textId="77777777" w:rsidR="00C20FE7" w:rsidRPr="00546592" w:rsidRDefault="00C20FE7" w:rsidP="00C20FE7">
      <w:pPr>
        <w:numPr>
          <w:ilvl w:val="1"/>
          <w:numId w:val="27"/>
        </w:numPr>
      </w:pPr>
      <w:r w:rsidRPr="00546592">
        <w:t>Generally, an Excluded Entity can be a UPE if it holds a controlling interest in another entity. However, where the Excluded Entity is a Government Entity, it will not be a UPE because Government Entities are not typically required to consolidate the financial results of non</w:t>
      </w:r>
      <w:r w:rsidRPr="00546592">
        <w:noBreakHyphen/>
        <w:t xml:space="preserve">Government Entities they own on a line-by-line basis. </w:t>
      </w:r>
    </w:p>
    <w:p w14:paraId="3558AEB4" w14:textId="77777777" w:rsidR="00C20FE7" w:rsidRPr="00546592" w:rsidRDefault="00C20FE7" w:rsidP="00C20FE7">
      <w:pPr>
        <w:numPr>
          <w:ilvl w:val="1"/>
          <w:numId w:val="47"/>
        </w:numPr>
      </w:pPr>
      <w:r w:rsidRPr="00546592">
        <w:t xml:space="preserve">In some circumstances, a sovereign wealth fund can be a Government Entity. Sovereign wealth funds may qualify as a Governmental Entity, if the entity: </w:t>
      </w:r>
    </w:p>
    <w:p w14:paraId="2633020A" w14:textId="77777777" w:rsidR="00C20FE7" w:rsidRPr="00546592" w:rsidRDefault="00C20FE7" w:rsidP="00C20FE7">
      <w:pPr>
        <w:numPr>
          <w:ilvl w:val="0"/>
          <w:numId w:val="10"/>
        </w:numPr>
      </w:pPr>
      <w:r w:rsidRPr="00546592">
        <w:t xml:space="preserve">is accountable to the government; </w:t>
      </w:r>
    </w:p>
    <w:p w14:paraId="0DE1FA86" w14:textId="62ACE0A8" w:rsidR="00C20FE7" w:rsidRPr="00546592" w:rsidRDefault="00C20FE7" w:rsidP="00C20FE7">
      <w:pPr>
        <w:numPr>
          <w:ilvl w:val="0"/>
          <w:numId w:val="10"/>
        </w:numPr>
      </w:pPr>
      <w:r w:rsidRPr="00546592">
        <w:t>provide</w:t>
      </w:r>
      <w:r w:rsidR="001C3D61">
        <w:t>s</w:t>
      </w:r>
      <w:r w:rsidRPr="00546592">
        <w:t xml:space="preserve"> annual information reporting to the government, and </w:t>
      </w:r>
    </w:p>
    <w:p w14:paraId="3154A5B2" w14:textId="77777777" w:rsidR="00C20FE7" w:rsidRPr="00546592" w:rsidRDefault="00C20FE7" w:rsidP="00C20FE7">
      <w:pPr>
        <w:numPr>
          <w:ilvl w:val="0"/>
          <w:numId w:val="10"/>
        </w:numPr>
      </w:pPr>
      <w:r w:rsidRPr="00546592">
        <w:t xml:space="preserve">vests assets with the government upon dissolution and any distributions of earnings are made to the government. </w:t>
      </w:r>
    </w:p>
    <w:p w14:paraId="17656E4A" w14:textId="55E05A4F" w:rsidR="00C20FE7" w:rsidRPr="00546592" w:rsidRDefault="00C20FE7" w:rsidP="00C20FE7">
      <w:pPr>
        <w:numPr>
          <w:ilvl w:val="1"/>
          <w:numId w:val="47"/>
        </w:numPr>
      </w:pPr>
      <w:r w:rsidRPr="00546592">
        <w:t>For example, the fund can be wholly owned by a government and has the principal purpose of investing and managing the government</w:t>
      </w:r>
      <w:r w:rsidR="00FF281F">
        <w:t>’s</w:t>
      </w:r>
      <w:r w:rsidRPr="00546592">
        <w:t xml:space="preserve">, or the jurisdiction’s, assets. In those circumstances, the fund should be treated in the same manner as a Government Entity, consistent with the policy outcome under the GloBE Rules. </w:t>
      </w:r>
    </w:p>
    <w:p w14:paraId="5CE88F98" w14:textId="7571B0E1" w:rsidR="00546592" w:rsidRPr="00546592" w:rsidRDefault="00546592" w:rsidP="00546592">
      <w:pPr>
        <w:keepNext/>
        <w:keepLines/>
        <w:spacing w:before="240"/>
        <w:outlineLvl w:val="5"/>
        <w:rPr>
          <w:rFonts w:ascii="Helvitica" w:eastAsiaTheme="majorEastAsia" w:hAnsi="Helvitica" w:cstheme="majorBidi" w:hint="eastAsia"/>
          <w:i/>
        </w:rPr>
      </w:pPr>
      <w:r w:rsidRPr="00546592">
        <w:rPr>
          <w:rFonts w:ascii="Helvitica" w:eastAsiaTheme="majorEastAsia" w:hAnsi="Helvitica" w:cstheme="majorBidi"/>
          <w:i/>
        </w:rPr>
        <w:t xml:space="preserve">Excluded Service Entity </w:t>
      </w:r>
    </w:p>
    <w:p w14:paraId="60D9A331" w14:textId="6263A7CB" w:rsidR="00546592" w:rsidRPr="00546592" w:rsidRDefault="00546592" w:rsidP="00546592">
      <w:pPr>
        <w:numPr>
          <w:ilvl w:val="1"/>
          <w:numId w:val="27"/>
        </w:numPr>
        <w:rPr>
          <w:rFonts w:cs="Times New Roman"/>
        </w:rPr>
      </w:pPr>
      <w:r w:rsidRPr="00546592">
        <w:t xml:space="preserve">An Entity can be an Excluded Service Entity depending on the value of the Entity owned by the Excluded Entity and the activities conducted by the Entity. </w:t>
      </w:r>
    </w:p>
    <w:p w14:paraId="48B96D91" w14:textId="1A6C9A35" w:rsidR="00546592" w:rsidRPr="00546592" w:rsidRDefault="00546592" w:rsidP="00546592">
      <w:pPr>
        <w:numPr>
          <w:ilvl w:val="1"/>
          <w:numId w:val="47"/>
        </w:numPr>
      </w:pPr>
      <w:r w:rsidRPr="00546592">
        <w:t xml:space="preserve">The ‘value of entity’ refers to the aggregate value of the Ownership Interests held by the Excluded Entity in the subsidiary Entity and is tested on the date of the most recent change in the Excluded Entity’s relative Ownership Interests in the Entity. </w:t>
      </w:r>
      <w:r w:rsidRPr="00546592">
        <w:rPr>
          <w:rFonts w:cs="Times New Roman"/>
        </w:rPr>
        <w:t>Where Ownership Interests are represented by shares, the value of the Entity refers to the value of the issued and outstanding shares held by the shareholders.</w:t>
      </w:r>
      <w:r w:rsidRPr="00546592">
        <w:t xml:space="preserve"> </w:t>
      </w:r>
    </w:p>
    <w:p w14:paraId="70A7A52C" w14:textId="17470887" w:rsidR="00546592" w:rsidRPr="00546592" w:rsidRDefault="00546592" w:rsidP="00546592">
      <w:pPr>
        <w:numPr>
          <w:ilvl w:val="1"/>
          <w:numId w:val="47"/>
        </w:numPr>
      </w:pPr>
      <w:r w:rsidRPr="00546592">
        <w:t xml:space="preserve">An </w:t>
      </w:r>
      <w:r w:rsidRPr="00546592">
        <w:rPr>
          <w:b/>
          <w:i/>
        </w:rPr>
        <w:t>Excluded Service Entity</w:t>
      </w:r>
      <w:r w:rsidRPr="00546592">
        <w:t xml:space="preserve"> must have at least 95 per cent of its value owned by an Excluded Entity and meet one, or both, of the following criteria: </w:t>
      </w:r>
    </w:p>
    <w:p w14:paraId="6A7888BC" w14:textId="57D9FFDB" w:rsidR="00546592" w:rsidRPr="00546592" w:rsidRDefault="00546592" w:rsidP="00F33100">
      <w:pPr>
        <w:pStyle w:val="Dotpoint1"/>
      </w:pPr>
      <w:r w:rsidRPr="00546592">
        <w:t>operate</w:t>
      </w:r>
      <w:r w:rsidR="001C3D61">
        <w:t>s</w:t>
      </w:r>
      <w:r w:rsidRPr="00546592">
        <w:t xml:space="preserve"> exclusively or almost exclusively to hold assets or invest funds for the benefit of the Excluded Entities; and</w:t>
      </w:r>
    </w:p>
    <w:p w14:paraId="2D2288F6" w14:textId="7A464C89" w:rsidR="00546592" w:rsidRPr="00546592" w:rsidRDefault="00546592" w:rsidP="00F33100">
      <w:pPr>
        <w:pStyle w:val="Dotpoint1"/>
      </w:pPr>
      <w:r w:rsidRPr="00546592">
        <w:t>only carries out activities that are ancillary to those carried out by the Excluded Entities.</w:t>
      </w:r>
    </w:p>
    <w:p w14:paraId="67894CE9" w14:textId="4EEB3FA9" w:rsidR="00546592" w:rsidRPr="00546592" w:rsidRDefault="00546592" w:rsidP="00546592">
      <w:pPr>
        <w:ind w:left="709"/>
      </w:pPr>
      <w:r w:rsidRPr="00546592">
        <w:lastRenderedPageBreak/>
        <w:t>This rule applies to Excluded Service Entities that are Permanent establishments.</w:t>
      </w:r>
      <w:r w:rsidRPr="00546592">
        <w:br/>
      </w:r>
      <w:r w:rsidRPr="00546592">
        <w:rPr>
          <w:b/>
          <w:bCs/>
          <w:i/>
          <w:iCs/>
        </w:rPr>
        <w:t>[</w:t>
      </w:r>
      <w:r w:rsidR="001514AD">
        <w:rPr>
          <w:b/>
          <w:bCs/>
          <w:i/>
          <w:iCs/>
        </w:rPr>
        <w:t>S</w:t>
      </w:r>
      <w:r w:rsidRPr="00546592">
        <w:rPr>
          <w:b/>
          <w:bCs/>
          <w:i/>
          <w:iCs/>
        </w:rPr>
        <w:t>ection 1</w:t>
      </w:r>
      <w:r w:rsidR="000541A7">
        <w:rPr>
          <w:b/>
          <w:bCs/>
          <w:i/>
          <w:iCs/>
        </w:rPr>
        <w:t>6</w:t>
      </w:r>
      <w:r w:rsidRPr="00546592">
        <w:rPr>
          <w:b/>
          <w:bCs/>
          <w:i/>
          <w:iCs/>
        </w:rPr>
        <w:t xml:space="preserve">(3) of the </w:t>
      </w:r>
      <w:r w:rsidR="00D70224">
        <w:rPr>
          <w:b/>
          <w:bCs/>
          <w:i/>
          <w:iCs/>
        </w:rPr>
        <w:t xml:space="preserve">Assessment </w:t>
      </w:r>
      <w:r w:rsidR="004F5B1B">
        <w:rPr>
          <w:b/>
          <w:bCs/>
          <w:i/>
          <w:iCs/>
        </w:rPr>
        <w:t>Bill</w:t>
      </w:r>
      <w:r w:rsidR="41E1DDFA" w:rsidRPr="3265DF6F">
        <w:rPr>
          <w:b/>
          <w:bCs/>
          <w:i/>
          <w:iCs/>
        </w:rPr>
        <w:t>]</w:t>
      </w:r>
    </w:p>
    <w:p w14:paraId="76B6CBED" w14:textId="31F61481" w:rsidR="00546592" w:rsidRPr="00546592" w:rsidRDefault="00546592" w:rsidP="00546592">
      <w:pPr>
        <w:numPr>
          <w:ilvl w:val="1"/>
          <w:numId w:val="47"/>
        </w:numPr>
      </w:pPr>
      <w:r w:rsidRPr="00546592">
        <w:t xml:space="preserve">For </w:t>
      </w:r>
      <w:r w:rsidR="00326CC6">
        <w:t xml:space="preserve">an </w:t>
      </w:r>
      <w:r w:rsidR="000972E7">
        <w:t>E</w:t>
      </w:r>
      <w:r w:rsidRPr="00546592">
        <w:t>ntit</w:t>
      </w:r>
      <w:r w:rsidR="00326CC6">
        <w:t>y that is</w:t>
      </w:r>
      <w:r w:rsidRPr="00546592">
        <w:t xml:space="preserve"> considered to be an Excluded Service Entity, a Filing Constituent Entity can make a </w:t>
      </w:r>
      <w:r w:rsidRPr="00546592">
        <w:rPr>
          <w:b/>
          <w:bCs/>
          <w:i/>
          <w:iCs/>
        </w:rPr>
        <w:t>Five-Year Election</w:t>
      </w:r>
      <w:r w:rsidRPr="00546592">
        <w:t xml:space="preserve"> not to treat that Entity as an Excluded Entity. If an election is made, the Entity would be treated as a Constituent Entity and not an Excluded entity.  </w:t>
      </w:r>
      <w:r w:rsidRPr="00546592">
        <w:br/>
      </w:r>
      <w:r w:rsidRPr="00546592">
        <w:rPr>
          <w:b/>
          <w:bCs/>
          <w:i/>
          <w:iCs/>
        </w:rPr>
        <w:t>[</w:t>
      </w:r>
      <w:r w:rsidR="001514AD">
        <w:rPr>
          <w:b/>
          <w:bCs/>
          <w:i/>
          <w:iCs/>
        </w:rPr>
        <w:t>S</w:t>
      </w:r>
      <w:r w:rsidRPr="00546592">
        <w:rPr>
          <w:b/>
          <w:bCs/>
          <w:i/>
          <w:iCs/>
        </w:rPr>
        <w:t>ubsections 1</w:t>
      </w:r>
      <w:r w:rsidR="000541A7">
        <w:rPr>
          <w:b/>
          <w:bCs/>
          <w:i/>
          <w:iCs/>
        </w:rPr>
        <w:t>6</w:t>
      </w:r>
      <w:r w:rsidRPr="00546592">
        <w:rPr>
          <w:b/>
          <w:bCs/>
          <w:i/>
          <w:iCs/>
        </w:rPr>
        <w:t>(6) to (8)</w:t>
      </w:r>
      <w:r w:rsidR="00D70224">
        <w:rPr>
          <w:b/>
          <w:bCs/>
          <w:i/>
          <w:iCs/>
        </w:rPr>
        <w:t xml:space="preserve"> of the Assessment </w:t>
      </w:r>
      <w:r w:rsidR="004F5B1B">
        <w:rPr>
          <w:b/>
          <w:bCs/>
          <w:i/>
          <w:iCs/>
        </w:rPr>
        <w:t>Bill</w:t>
      </w:r>
      <w:r w:rsidRPr="00546592">
        <w:rPr>
          <w:b/>
          <w:bCs/>
          <w:i/>
          <w:iCs/>
        </w:rPr>
        <w:t xml:space="preserve">] </w:t>
      </w:r>
    </w:p>
    <w:p w14:paraId="5DBA3FDA" w14:textId="487D7819" w:rsidR="00546592" w:rsidRPr="00546592" w:rsidRDefault="00546592" w:rsidP="00546592">
      <w:pPr>
        <w:numPr>
          <w:ilvl w:val="1"/>
          <w:numId w:val="47"/>
        </w:numPr>
      </w:pPr>
      <w:r w:rsidRPr="00546592">
        <w:t xml:space="preserve">If an election is made, it will be a </w:t>
      </w:r>
      <w:r w:rsidR="00756FFF">
        <w:t>Five</w:t>
      </w:r>
      <w:r w:rsidR="00756FFF">
        <w:noBreakHyphen/>
      </w:r>
      <w:r w:rsidRPr="00546592">
        <w:t>year election, which means that it cannot be revoked with respect to a Fiscal Year (election year) or the four succeeding years immediately after the election year. The election will remain in effect indefinitely until it is revoked with respect to a Fiscal Year (the revocation year), from which point the MNE Group cannot make another election for the four succeeding years immediately after the revocation year.</w:t>
      </w:r>
      <w:r w:rsidRPr="00546592">
        <w:br/>
      </w:r>
      <w:r w:rsidRPr="00546592">
        <w:rPr>
          <w:b/>
          <w:bCs/>
          <w:i/>
          <w:iCs/>
        </w:rPr>
        <w:t>[</w:t>
      </w:r>
      <w:r w:rsidR="001514AD">
        <w:rPr>
          <w:b/>
          <w:bCs/>
          <w:i/>
          <w:iCs/>
        </w:rPr>
        <w:t>S</w:t>
      </w:r>
      <w:r w:rsidRPr="00546592">
        <w:rPr>
          <w:b/>
          <w:bCs/>
          <w:i/>
          <w:iCs/>
        </w:rPr>
        <w:t>ubsections 1</w:t>
      </w:r>
      <w:r w:rsidR="000541A7">
        <w:rPr>
          <w:b/>
          <w:bCs/>
          <w:i/>
          <w:iCs/>
        </w:rPr>
        <w:t>6</w:t>
      </w:r>
      <w:r w:rsidRPr="00546592">
        <w:rPr>
          <w:b/>
          <w:bCs/>
          <w:i/>
          <w:iCs/>
        </w:rPr>
        <w:t>(6) to (8)</w:t>
      </w:r>
      <w:r w:rsidR="00D70224">
        <w:rPr>
          <w:b/>
          <w:bCs/>
          <w:i/>
          <w:iCs/>
        </w:rPr>
        <w:t xml:space="preserve"> of the Assessment </w:t>
      </w:r>
      <w:r w:rsidR="004F5B1B">
        <w:rPr>
          <w:b/>
          <w:bCs/>
          <w:i/>
          <w:iCs/>
        </w:rPr>
        <w:t>Bill</w:t>
      </w:r>
      <w:r w:rsidRPr="00546592">
        <w:rPr>
          <w:b/>
          <w:bCs/>
          <w:i/>
          <w:iCs/>
        </w:rPr>
        <w:t xml:space="preserve">] </w:t>
      </w:r>
    </w:p>
    <w:p w14:paraId="4D3078AB" w14:textId="2035CEF2" w:rsidR="00546592" w:rsidRDefault="00546592" w:rsidP="00546592">
      <w:pPr>
        <w:numPr>
          <w:ilvl w:val="1"/>
          <w:numId w:val="47"/>
        </w:numPr>
      </w:pPr>
      <w:r w:rsidRPr="00546592">
        <w:t xml:space="preserve">It is intended for MNE Groups to be able to make an election so that it can apply the IIR with respect to the </w:t>
      </w:r>
      <w:r w:rsidR="004A7CAB">
        <w:t>t</w:t>
      </w:r>
      <w:r w:rsidRPr="00546592">
        <w:t>op-</w:t>
      </w:r>
      <w:r w:rsidR="004A7CAB">
        <w:t>u</w:t>
      </w:r>
      <w:r w:rsidRPr="00546592">
        <w:t xml:space="preserve">p </w:t>
      </w:r>
      <w:r w:rsidR="004A7CAB">
        <w:t>t</w:t>
      </w:r>
      <w:r w:rsidRPr="00546592">
        <w:t xml:space="preserve">ax of its LTCEs and prevent the UTPR from operating. </w:t>
      </w:r>
      <w:r w:rsidR="00440890" w:rsidRPr="00440890">
        <w:t xml:space="preserve">For example, a Filing </w:t>
      </w:r>
      <w:r w:rsidR="00F33100">
        <w:t>Constituent Entity</w:t>
      </w:r>
      <w:r w:rsidR="00440890" w:rsidRPr="00440890">
        <w:t xml:space="preserve"> may elect to treat an Excluded Entity as a </w:t>
      </w:r>
      <w:r w:rsidR="00F33100">
        <w:t>Constituent Entity</w:t>
      </w:r>
      <w:r w:rsidR="00440890" w:rsidRPr="00440890">
        <w:t xml:space="preserve"> in order to apply IIR and not UTPR</w:t>
      </w:r>
      <w:r w:rsidR="00260804" w:rsidRPr="00260804">
        <w:t xml:space="preserve"> </w:t>
      </w:r>
      <w:r w:rsidR="00260804">
        <w:t xml:space="preserve">with respect to the </w:t>
      </w:r>
      <w:r w:rsidR="004A7CAB">
        <w:t>t</w:t>
      </w:r>
      <w:r w:rsidR="00260804">
        <w:t xml:space="preserve">op-up </w:t>
      </w:r>
      <w:r w:rsidR="004A7CAB">
        <w:t>t</w:t>
      </w:r>
      <w:r w:rsidR="00260804">
        <w:t>ax of the LTCE.</w:t>
      </w:r>
    </w:p>
    <w:p w14:paraId="749C5E55" w14:textId="00898189" w:rsidR="00B46BD0" w:rsidRDefault="00B46BD0" w:rsidP="00B46BD0">
      <w:pPr>
        <w:pStyle w:val="Heading3"/>
        <w:rPr>
          <w:rFonts w:hint="eastAsia"/>
        </w:rPr>
      </w:pPr>
      <w:r>
        <w:t>Ownership interests</w:t>
      </w:r>
    </w:p>
    <w:p w14:paraId="56938AEE" w14:textId="7DED97A3" w:rsidR="00EF5F57" w:rsidRPr="002C0AF8" w:rsidRDefault="00504553" w:rsidP="00B46BD0">
      <w:pPr>
        <w:pStyle w:val="Normalparatextwithnumbers"/>
        <w:rPr>
          <w:rStyle w:val="References"/>
          <w:b w:val="0"/>
          <w:bCs w:val="0"/>
          <w:i w:val="0"/>
          <w:iCs w:val="0"/>
        </w:rPr>
      </w:pPr>
      <w:r>
        <w:t>Both</w:t>
      </w:r>
      <w:r w:rsidR="00B63B21">
        <w:t xml:space="preserve"> </w:t>
      </w:r>
      <w:r>
        <w:t xml:space="preserve">direct </w:t>
      </w:r>
      <w:r w:rsidR="00F33100">
        <w:t>and</w:t>
      </w:r>
      <w:r>
        <w:t xml:space="preserve"> indirect ownership interests are </w:t>
      </w:r>
      <w:r w:rsidR="00253070">
        <w:t>taken into account</w:t>
      </w:r>
      <w:r w:rsidR="00EF5F57">
        <w:t xml:space="preserve"> when determining an Entity’s liability to pay </w:t>
      </w:r>
      <w:r w:rsidR="00253070">
        <w:t>t</w:t>
      </w:r>
      <w:r w:rsidR="00EF5F57" w:rsidRPr="00546592">
        <w:t>op</w:t>
      </w:r>
      <w:r w:rsidR="00253070">
        <w:t>-u</w:t>
      </w:r>
      <w:r w:rsidR="00EF5F57" w:rsidRPr="00546592">
        <w:t xml:space="preserve">p </w:t>
      </w:r>
      <w:r w:rsidR="00253070">
        <w:t>t</w:t>
      </w:r>
      <w:r w:rsidR="00EF5F57" w:rsidRPr="00546592">
        <w:t xml:space="preserve">ax </w:t>
      </w:r>
      <w:r w:rsidR="00253070">
        <w:t xml:space="preserve">in respect of </w:t>
      </w:r>
      <w:r w:rsidR="00EF5F57">
        <w:t>an LTCE.</w:t>
      </w:r>
      <w:r w:rsidR="00A33FF1">
        <w:t xml:space="preserve"> </w:t>
      </w:r>
      <w:r w:rsidR="00EF5F57">
        <w:t xml:space="preserve">Direct and indirect ownership interests are </w:t>
      </w:r>
      <w:r w:rsidR="006F302E">
        <w:t xml:space="preserve">broadly </w:t>
      </w:r>
      <w:r w:rsidR="00EF5F57">
        <w:t xml:space="preserve">defined </w:t>
      </w:r>
      <w:r w:rsidR="006F302E">
        <w:t>as interests that carry rights to</w:t>
      </w:r>
      <w:r w:rsidR="00EF5F57">
        <w:t xml:space="preserve"> the share of profits, capital and/or reserves in </w:t>
      </w:r>
      <w:r w:rsidR="006F302E">
        <w:t xml:space="preserve">an </w:t>
      </w:r>
      <w:r w:rsidR="00EF5F57">
        <w:t xml:space="preserve">Entity </w:t>
      </w:r>
      <w:r w:rsidR="006F302E">
        <w:t>and that would be classified as equity under the relevant financial accounting standard</w:t>
      </w:r>
      <w:r w:rsidR="00EF5F57">
        <w:t xml:space="preserve">. </w:t>
      </w:r>
      <w:r w:rsidR="00EF5F57">
        <w:br/>
      </w:r>
      <w:r w:rsidR="00EF5F57" w:rsidRPr="002C0AF8">
        <w:rPr>
          <w:rStyle w:val="References"/>
        </w:rPr>
        <w:t>[</w:t>
      </w:r>
      <w:r w:rsidR="00EF5F57">
        <w:rPr>
          <w:rStyle w:val="References"/>
        </w:rPr>
        <w:t xml:space="preserve">Section </w:t>
      </w:r>
      <w:r w:rsidR="007740ED">
        <w:rPr>
          <w:rStyle w:val="References"/>
        </w:rPr>
        <w:t>29</w:t>
      </w:r>
      <w:r w:rsidR="00756FFF">
        <w:rPr>
          <w:rStyle w:val="References"/>
        </w:rPr>
        <w:t xml:space="preserve"> of the </w:t>
      </w:r>
      <w:r w:rsidR="0085520F">
        <w:rPr>
          <w:rStyle w:val="References"/>
        </w:rPr>
        <w:t xml:space="preserve">Assessment </w:t>
      </w:r>
      <w:r w:rsidR="004F5B1B">
        <w:rPr>
          <w:rStyle w:val="References"/>
        </w:rPr>
        <w:t>Bill</w:t>
      </w:r>
      <w:r w:rsidR="00EF5F57" w:rsidRPr="002C0AF8">
        <w:rPr>
          <w:rStyle w:val="References"/>
        </w:rPr>
        <w:t>]</w:t>
      </w:r>
    </w:p>
    <w:p w14:paraId="45B51149" w14:textId="15C4A9E0" w:rsidR="00153365" w:rsidRPr="002C0AF8" w:rsidRDefault="00C349AA" w:rsidP="00C349AA">
      <w:pPr>
        <w:pStyle w:val="ExampleHeading"/>
        <w:rPr>
          <w:rStyle w:val="References"/>
          <w:rFonts w:ascii="Helvetica" w:hAnsi="Helvetica"/>
          <w:b/>
          <w:bCs w:val="0"/>
          <w:i/>
          <w:iCs/>
        </w:rPr>
      </w:pPr>
      <w:r>
        <w:rPr>
          <w:rStyle w:val="References"/>
          <w:rFonts w:ascii="Helvetica" w:hAnsi="Helvetica"/>
          <w:b/>
          <w:bCs w:val="0"/>
          <w:i/>
          <w:iCs/>
        </w:rPr>
        <w:t>O</w:t>
      </w:r>
      <w:r w:rsidR="00153365">
        <w:rPr>
          <w:rStyle w:val="References"/>
          <w:rFonts w:ascii="Helvetica" w:hAnsi="Helvetica"/>
          <w:b/>
          <w:bCs w:val="0"/>
          <w:i/>
          <w:iCs/>
        </w:rPr>
        <w:t xml:space="preserve">wnership interests </w:t>
      </w:r>
    </w:p>
    <w:p w14:paraId="208B3843" w14:textId="77777777" w:rsidR="00C349AA" w:rsidRPr="00C349AA" w:rsidRDefault="00C349AA" w:rsidP="00C349AA">
      <w:pPr>
        <w:pStyle w:val="Exampletext"/>
        <w:rPr>
          <w:rStyle w:val="cf01"/>
          <w:rFonts w:ascii="Times New Roman" w:hAnsi="Times New Roman" w:cs="Times New Roman"/>
          <w:b/>
          <w:bCs/>
          <w:sz w:val="20"/>
          <w:szCs w:val="20"/>
        </w:rPr>
      </w:pPr>
      <w:r w:rsidRPr="00D27D18">
        <w:rPr>
          <w:b/>
          <w:bCs/>
          <w:sz w:val="20"/>
          <w:szCs w:val="20"/>
        </w:rPr>
        <w:t>Identifying whether an indirect ownership interest exists</w:t>
      </w:r>
      <w:r w:rsidRPr="00C349AA">
        <w:rPr>
          <w:rStyle w:val="cf01"/>
          <w:rFonts w:ascii="Times New Roman" w:hAnsi="Times New Roman" w:cs="Times New Roman"/>
          <w:b/>
          <w:bCs/>
          <w:sz w:val="20"/>
          <w:szCs w:val="20"/>
        </w:rPr>
        <w:t xml:space="preserve"> </w:t>
      </w:r>
    </w:p>
    <w:p w14:paraId="43E4E0CB" w14:textId="04DCAAA5" w:rsidR="00C349AA" w:rsidRDefault="00C349AA" w:rsidP="00D27D18">
      <w:pPr>
        <w:pStyle w:val="Exampletext"/>
        <w:rPr>
          <w:rStyle w:val="cf01"/>
          <w:rFonts w:ascii="Times New Roman" w:hAnsi="Times New Roman" w:cs="Times New Roman"/>
          <w:b/>
          <w:i/>
          <w:sz w:val="20"/>
          <w:szCs w:val="20"/>
        </w:rPr>
      </w:pPr>
      <w:r w:rsidRPr="002C0AF8">
        <w:rPr>
          <w:rStyle w:val="cf01"/>
          <w:rFonts w:ascii="Times New Roman" w:hAnsi="Times New Roman" w:cs="Times New Roman"/>
          <w:b/>
          <w:bCs/>
          <w:sz w:val="20"/>
          <w:szCs w:val="20"/>
        </w:rPr>
        <w:t>Scenario:</w:t>
      </w:r>
      <w:r>
        <w:rPr>
          <w:rStyle w:val="cf01"/>
          <w:rFonts w:ascii="Times New Roman" w:hAnsi="Times New Roman" w:cs="Times New Roman"/>
          <w:sz w:val="20"/>
          <w:szCs w:val="20"/>
        </w:rPr>
        <w:t xml:space="preserve"> </w:t>
      </w:r>
      <w:r w:rsidRPr="002C0AF8">
        <w:rPr>
          <w:rStyle w:val="cf01"/>
          <w:rFonts w:ascii="Times New Roman" w:hAnsi="Times New Roman" w:cs="Times New Roman"/>
          <w:sz w:val="20"/>
          <w:szCs w:val="20"/>
        </w:rPr>
        <w:t xml:space="preserve">Entity A holds a Direct Ownership Interest in Entity B. Entity B holds a Direct Ownership Interest in Entity C. </w:t>
      </w:r>
    </w:p>
    <w:p w14:paraId="3E90AC1B" w14:textId="36B9072C" w:rsidR="00C349AA" w:rsidRDefault="00C349AA" w:rsidP="00C349AA">
      <w:pPr>
        <w:pStyle w:val="Exampletext"/>
        <w:rPr>
          <w:rStyle w:val="References"/>
        </w:rPr>
      </w:pPr>
      <w:r w:rsidRPr="002C0AF8">
        <w:rPr>
          <w:rStyle w:val="cf01"/>
          <w:rFonts w:ascii="Times New Roman" w:hAnsi="Times New Roman" w:cs="Times New Roman"/>
          <w:b/>
          <w:bCs/>
          <w:sz w:val="20"/>
          <w:szCs w:val="20"/>
        </w:rPr>
        <w:t>Interpretation:</w:t>
      </w:r>
      <w:r>
        <w:rPr>
          <w:rStyle w:val="cf01"/>
          <w:rFonts w:ascii="Times New Roman" w:hAnsi="Times New Roman" w:cs="Times New Roman"/>
          <w:sz w:val="20"/>
          <w:szCs w:val="20"/>
        </w:rPr>
        <w:t xml:space="preserve"> </w:t>
      </w:r>
      <w:r w:rsidRPr="002C0AF8">
        <w:rPr>
          <w:rStyle w:val="cf01"/>
          <w:rFonts w:ascii="Times New Roman" w:hAnsi="Times New Roman" w:cs="Times New Roman"/>
          <w:sz w:val="20"/>
          <w:szCs w:val="20"/>
        </w:rPr>
        <w:t xml:space="preserve">Therefore, Entity A holds an Indirect Ownership Interest in Entity C. </w:t>
      </w:r>
      <w:r>
        <w:rPr>
          <w:rStyle w:val="cf01"/>
          <w:rFonts w:ascii="Times New Roman" w:hAnsi="Times New Roman" w:cs="Times New Roman"/>
          <w:sz w:val="20"/>
          <w:szCs w:val="20"/>
        </w:rPr>
        <w:br/>
      </w:r>
      <w:r w:rsidRPr="002C0AF8">
        <w:rPr>
          <w:rStyle w:val="References"/>
        </w:rPr>
        <w:t>[</w:t>
      </w:r>
      <w:r>
        <w:rPr>
          <w:rStyle w:val="References"/>
        </w:rPr>
        <w:t>Section 10-16(4)</w:t>
      </w:r>
      <w:r w:rsidR="00A80E75">
        <w:rPr>
          <w:rStyle w:val="References"/>
        </w:rPr>
        <w:t xml:space="preserve"> of the Assessment </w:t>
      </w:r>
      <w:r w:rsidR="004F5B1B">
        <w:rPr>
          <w:rStyle w:val="References"/>
        </w:rPr>
        <w:t>Bill</w:t>
      </w:r>
      <w:r w:rsidRPr="002C0AF8">
        <w:rPr>
          <w:rStyle w:val="References"/>
        </w:rPr>
        <w:t xml:space="preserve">] </w:t>
      </w:r>
    </w:p>
    <w:p w14:paraId="2F566DE5" w14:textId="77777777" w:rsidR="00684A14" w:rsidRPr="00D27D18" w:rsidRDefault="00684A14" w:rsidP="00684A14">
      <w:pPr>
        <w:pStyle w:val="Exampletext"/>
        <w:rPr>
          <w:b/>
          <w:bCs/>
        </w:rPr>
      </w:pPr>
      <w:r w:rsidRPr="00D27D18">
        <w:rPr>
          <w:b/>
          <w:bCs/>
        </w:rPr>
        <w:t xml:space="preserve">Calculating the proportion of a direct ownership interest </w:t>
      </w:r>
    </w:p>
    <w:p w14:paraId="437E0A4D" w14:textId="5BDDF020" w:rsidR="00A21DC1" w:rsidRPr="002C0AF8" w:rsidRDefault="00A21DC1" w:rsidP="00D27D18">
      <w:pPr>
        <w:pStyle w:val="Exampletext"/>
        <w:rPr>
          <w:b/>
        </w:rPr>
      </w:pPr>
      <w:r w:rsidRPr="002C0AF8">
        <w:rPr>
          <w:b/>
        </w:rPr>
        <w:t xml:space="preserve">Scenario: </w:t>
      </w:r>
      <w:r w:rsidRPr="002C0AF8">
        <w:t xml:space="preserve">Entity A issues ownership interests of two types, profit units which carry equal rights to the profits of the entity and capital </w:t>
      </w:r>
      <w:r w:rsidRPr="002C0AF8">
        <w:lastRenderedPageBreak/>
        <w:t xml:space="preserve">units which carry equal rights to the capital of the entity in liquidation. These units are held by 3 other entities, B, C and D. Entity B holds 50% of the issued </w:t>
      </w:r>
      <w:r w:rsidR="0002547E">
        <w:t>p</w:t>
      </w:r>
      <w:r w:rsidRPr="002C0AF8">
        <w:t xml:space="preserve">rofit </w:t>
      </w:r>
      <w:r w:rsidR="0002547E">
        <w:t>u</w:t>
      </w:r>
      <w:r w:rsidRPr="002C0AF8">
        <w:t xml:space="preserve">nits and 80% of the issued capital units. Entity C holds 50% of the profit units. Entity D holds the remaining 20% of capital units. </w:t>
      </w:r>
    </w:p>
    <w:p w14:paraId="74C1C0A1" w14:textId="5592C581" w:rsidR="00684A14" w:rsidRDefault="00A21DC1" w:rsidP="00684A14">
      <w:pPr>
        <w:pStyle w:val="Exampletext"/>
      </w:pPr>
      <w:r w:rsidRPr="00F72B10">
        <w:rPr>
          <w:b/>
          <w:bCs/>
        </w:rPr>
        <w:t>Interpretation:</w:t>
      </w:r>
      <w:r w:rsidRPr="00F72B10">
        <w:t xml:space="preserve"> Entity B’s ownership interest amounts to the average of its ownership interests in Entity A, (50% + 80%) </w:t>
      </w:r>
      <w:r>
        <w:t xml:space="preserve">/ 2 </w:t>
      </w:r>
      <w:r w:rsidRPr="00F72B10">
        <w:t xml:space="preserve">= </w:t>
      </w:r>
      <w:r w:rsidRPr="002C0AF8">
        <w:t>65%.</w:t>
      </w:r>
      <w:r w:rsidRPr="00F72B10">
        <w:t xml:space="preserve"> Entity C has 25% of the ownership interest in A, (50%</w:t>
      </w:r>
      <w:r>
        <w:t xml:space="preserve"> </w:t>
      </w:r>
      <w:r w:rsidRPr="00F72B10">
        <w:t>+ 0)</w:t>
      </w:r>
      <w:r>
        <w:t xml:space="preserve"> /2</w:t>
      </w:r>
      <w:r w:rsidRPr="00F72B10">
        <w:t>. Entity D has the remaining (0</w:t>
      </w:r>
      <w:r>
        <w:t xml:space="preserve"> </w:t>
      </w:r>
      <w:r w:rsidRPr="00F72B10">
        <w:t>+ 20%)</w:t>
      </w:r>
      <w:r>
        <w:t xml:space="preserve">/2 = </w:t>
      </w:r>
      <w:r w:rsidRPr="00F72B10">
        <w:t>10%</w:t>
      </w:r>
      <w:r>
        <w:t xml:space="preserve">. </w:t>
      </w:r>
      <w:r>
        <w:br/>
      </w:r>
      <w:r w:rsidRPr="002C0AF8">
        <w:rPr>
          <w:rStyle w:val="References"/>
        </w:rPr>
        <w:t>[S</w:t>
      </w:r>
      <w:r>
        <w:rPr>
          <w:rStyle w:val="References"/>
        </w:rPr>
        <w:t>ection 10-17(2)</w:t>
      </w:r>
      <w:r w:rsidR="00A80E75">
        <w:rPr>
          <w:rStyle w:val="References"/>
        </w:rPr>
        <w:t xml:space="preserve"> of the Assessment </w:t>
      </w:r>
      <w:r w:rsidR="004F5B1B">
        <w:rPr>
          <w:rStyle w:val="References"/>
        </w:rPr>
        <w:t>Bill</w:t>
      </w:r>
      <w:r w:rsidRPr="002C0AF8">
        <w:rPr>
          <w:rStyle w:val="References"/>
        </w:rPr>
        <w:t>]</w:t>
      </w:r>
      <w:r w:rsidR="00684A14" w:rsidRPr="00684A14">
        <w:t xml:space="preserve"> </w:t>
      </w:r>
    </w:p>
    <w:p w14:paraId="44F4FDFB" w14:textId="2EF7D561" w:rsidR="00C349AA" w:rsidRDefault="00684A14" w:rsidP="00684A14">
      <w:pPr>
        <w:pStyle w:val="Exampletext"/>
      </w:pPr>
      <w:r w:rsidRPr="00D27D18">
        <w:rPr>
          <w:b/>
          <w:bCs/>
        </w:rPr>
        <w:t>Calculating the proportion of an indirect ownership interest</w:t>
      </w:r>
    </w:p>
    <w:p w14:paraId="574D97EF" w14:textId="4A75A280" w:rsidR="00684A14" w:rsidRPr="002C0AF8" w:rsidRDefault="00684A14" w:rsidP="00D27D18">
      <w:pPr>
        <w:pStyle w:val="Exampletext"/>
      </w:pPr>
      <w:r w:rsidRPr="002C0AF8">
        <w:rPr>
          <w:b/>
        </w:rPr>
        <w:t>Scenario:</w:t>
      </w:r>
      <w:r>
        <w:t xml:space="preserve"> </w:t>
      </w:r>
      <w:r w:rsidRPr="002C0AF8">
        <w:t>Entity A directly owns 70% of the shares in Entity B which directly owns 40% of shares in Entity C.</w:t>
      </w:r>
    </w:p>
    <w:p w14:paraId="20732C3F" w14:textId="1069D8A0" w:rsidR="00C349AA" w:rsidRPr="00D27D18" w:rsidRDefault="00684A14" w:rsidP="00D27D18">
      <w:pPr>
        <w:pStyle w:val="Exampletext"/>
      </w:pPr>
      <w:r w:rsidRPr="002C0AF8">
        <w:rPr>
          <w:b/>
        </w:rPr>
        <w:t>Interpretation:</w:t>
      </w:r>
      <w:r>
        <w:t xml:space="preserve"> </w:t>
      </w:r>
      <w:r w:rsidRPr="002C0AF8">
        <w:t>Entity A has an indirect ownership interest of 28% in Entity C, through Entity B.</w:t>
      </w:r>
    </w:p>
    <w:p w14:paraId="5792163B" w14:textId="6A75DD4F" w:rsidR="00546592" w:rsidRPr="00546592" w:rsidRDefault="00546592" w:rsidP="004F1EC7">
      <w:pPr>
        <w:pStyle w:val="Heading4"/>
        <w:rPr>
          <w:b/>
        </w:rPr>
      </w:pPr>
      <w:r w:rsidRPr="00546592">
        <w:t>GloBE Threshold</w:t>
      </w:r>
    </w:p>
    <w:p w14:paraId="1A6BB4AC" w14:textId="6061EEAE" w:rsidR="00546592" w:rsidRPr="00546592" w:rsidRDefault="00546592" w:rsidP="00546592">
      <w:pPr>
        <w:numPr>
          <w:ilvl w:val="1"/>
          <w:numId w:val="27"/>
        </w:numPr>
      </w:pPr>
      <w:r w:rsidRPr="00546592">
        <w:t xml:space="preserve">An MNE Group is subject to the GloBE Rules in a Fiscal Year if its annual revenue meets the EUR 750 million </w:t>
      </w:r>
      <w:r w:rsidRPr="00546592">
        <w:rPr>
          <w:b/>
          <w:i/>
        </w:rPr>
        <w:t>GloBE Threshold</w:t>
      </w:r>
      <w:r w:rsidRPr="00546592" w:rsidDel="0096628D">
        <w:t xml:space="preserve"> in </w:t>
      </w:r>
      <w:r w:rsidRPr="00546592">
        <w:t>at least 2 of the 4 Fiscal Years immediately preceding the Fiscal Year.</w:t>
      </w:r>
      <w:r w:rsidR="004F1EC7">
        <w:br/>
      </w:r>
      <w:r w:rsidR="004F1EC7" w:rsidRPr="004F1EC7">
        <w:rPr>
          <w:rStyle w:val="References"/>
        </w:rPr>
        <w:t>[</w:t>
      </w:r>
      <w:r w:rsidR="00995DB0">
        <w:rPr>
          <w:rStyle w:val="References"/>
        </w:rPr>
        <w:t>S</w:t>
      </w:r>
      <w:r w:rsidR="004F1EC7">
        <w:rPr>
          <w:rStyle w:val="References"/>
        </w:rPr>
        <w:t>ubsection 12(3)</w:t>
      </w:r>
      <w:r w:rsidR="00A80E75">
        <w:rPr>
          <w:rStyle w:val="References"/>
        </w:rPr>
        <w:t xml:space="preserve"> of the Assessment </w:t>
      </w:r>
      <w:r w:rsidR="004F5B1B">
        <w:rPr>
          <w:rStyle w:val="References"/>
        </w:rPr>
        <w:t>Bill</w:t>
      </w:r>
      <w:r w:rsidR="004F1EC7" w:rsidRPr="004F1EC7">
        <w:rPr>
          <w:rStyle w:val="References"/>
        </w:rPr>
        <w:t xml:space="preserve">] </w:t>
      </w:r>
      <w:r w:rsidRPr="00546592">
        <w:t xml:space="preserve"> </w:t>
      </w:r>
    </w:p>
    <w:p w14:paraId="3BCFA0F7" w14:textId="77777777" w:rsidR="00546592" w:rsidRPr="00546592" w:rsidRDefault="00546592" w:rsidP="00546592">
      <w:pPr>
        <w:keepNext/>
        <w:numPr>
          <w:ilvl w:val="2"/>
          <w:numId w:val="47"/>
        </w:numPr>
        <w:spacing w:before="240" w:after="200"/>
        <w:ind w:left="0" w:firstLine="0"/>
        <w:outlineLvl w:val="3"/>
        <w:rPr>
          <w:rFonts w:ascii="Helvetica" w:eastAsia="Times New Roman" w:hAnsi="Helvetica" w:cs="Helvetica"/>
          <w:b/>
          <w:i/>
          <w:iCs/>
        </w:rPr>
      </w:pPr>
      <w:r w:rsidRPr="00546592">
        <w:rPr>
          <w:rFonts w:ascii="Helvetica" w:eastAsia="Times New Roman" w:hAnsi="Helvetica" w:cs="Helvetica"/>
          <w:b/>
          <w:i/>
          <w:iCs/>
        </w:rPr>
        <w:t>Consolidated Revenue Threshold</w:t>
      </w:r>
    </w:p>
    <w:p w14:paraId="275EE691" w14:textId="1C72C759" w:rsidR="00546592" w:rsidRPr="009B66AC" w:rsidRDefault="00546592" w:rsidP="00546592">
      <w:pPr>
        <w:rPr>
          <w:rStyle w:val="References"/>
        </w:rPr>
      </w:pPr>
      <w:r w:rsidRPr="00546592">
        <w:rPr>
          <w:noProof/>
        </w:rPr>
        <w:drawing>
          <wp:inline distT="0" distB="0" distL="0" distR="0" wp14:anchorId="6B648916" wp14:editId="0AEC11CC">
            <wp:extent cx="3657600" cy="214541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64988" cy="2149753"/>
                    </a:xfrm>
                    <a:prstGeom prst="rect">
                      <a:avLst/>
                    </a:prstGeom>
                  </pic:spPr>
                </pic:pic>
              </a:graphicData>
            </a:graphic>
          </wp:inline>
        </w:drawing>
      </w:r>
      <w:r w:rsidR="00A70C93">
        <w:br/>
      </w:r>
      <w:r w:rsidR="00145D91" w:rsidRPr="004D6B98">
        <w:rPr>
          <w:rStyle w:val="References"/>
          <w:sz w:val="20"/>
          <w:szCs w:val="20"/>
        </w:rPr>
        <w:t>OECD (2023),</w:t>
      </w:r>
      <w:r w:rsidR="007B1525" w:rsidRPr="004D6B98">
        <w:rPr>
          <w:rStyle w:val="References"/>
          <w:sz w:val="20"/>
          <w:szCs w:val="20"/>
        </w:rPr>
        <w:t xml:space="preserve"> </w:t>
      </w:r>
      <w:r w:rsidR="00696234" w:rsidRPr="004D6B98">
        <w:rPr>
          <w:rStyle w:val="References"/>
          <w:sz w:val="20"/>
          <w:szCs w:val="20"/>
        </w:rPr>
        <w:t xml:space="preserve">Figure 1.3 of the </w:t>
      </w:r>
      <w:r w:rsidR="00145D91" w:rsidRPr="004D6B98">
        <w:rPr>
          <w:rStyle w:val="References"/>
          <w:sz w:val="20"/>
          <w:szCs w:val="20"/>
        </w:rPr>
        <w:t>Minimum Tax Implementation Handbook (Pillar Two), OECD/G20 Base Erosion and Profit Shifting Project, OECD, Paris</w:t>
      </w:r>
      <w:r w:rsidR="00CF59A6" w:rsidRPr="004D6B98">
        <w:rPr>
          <w:rStyle w:val="References"/>
          <w:sz w:val="20"/>
          <w:szCs w:val="20"/>
        </w:rPr>
        <w:t xml:space="preserve">, </w:t>
      </w:r>
      <w:r w:rsidR="00CF59A6" w:rsidRPr="00B43F57">
        <w:rPr>
          <w:rStyle w:val="References"/>
          <w:b w:val="0"/>
          <w:sz w:val="20"/>
          <w:szCs w:val="20"/>
        </w:rPr>
        <w:t>https://www.oecd.org/tax/beps/minimum-tax-implementation-handbook-pillar-two.pdf</w:t>
      </w:r>
    </w:p>
    <w:p w14:paraId="7EC02369" w14:textId="20D626E9" w:rsidR="00546592" w:rsidRPr="00546592" w:rsidRDefault="00264855" w:rsidP="00546592">
      <w:pPr>
        <w:numPr>
          <w:ilvl w:val="1"/>
          <w:numId w:val="27"/>
        </w:numPr>
      </w:pPr>
      <w:r w:rsidRPr="00264855">
        <w:t>The annual revenue of the MNE Group is the amount determined in accordance with relevant accounting standard</w:t>
      </w:r>
      <w:r>
        <w:t>s</w:t>
      </w:r>
      <w:r w:rsidRPr="00264855">
        <w:t xml:space="preserve"> and generally represents </w:t>
      </w:r>
      <w:r w:rsidRPr="00264855">
        <w:lastRenderedPageBreak/>
        <w:t>amount disclosed in the CFS as annual revenue</w:t>
      </w:r>
      <w:r>
        <w:t xml:space="preserve"> </w:t>
      </w:r>
      <w:r w:rsidR="00546592" w:rsidRPr="00546592">
        <w:t>of the MNE Group. The UPE is typically the Entity which prepares the CFS, which would identify all the Entities within the MNE Group.</w:t>
      </w:r>
      <w:r w:rsidR="00546592" w:rsidRPr="00546592">
        <w:br/>
      </w:r>
      <w:r w:rsidR="00546592" w:rsidRPr="00546592">
        <w:rPr>
          <w:b/>
          <w:bCs/>
          <w:i/>
          <w:iCs/>
        </w:rPr>
        <w:t>[</w:t>
      </w:r>
      <w:r w:rsidR="001514AD">
        <w:rPr>
          <w:b/>
          <w:bCs/>
          <w:i/>
          <w:iCs/>
        </w:rPr>
        <w:t>S</w:t>
      </w:r>
      <w:r w:rsidR="00226572">
        <w:rPr>
          <w:b/>
          <w:bCs/>
          <w:i/>
          <w:iCs/>
        </w:rPr>
        <w:t>ubs</w:t>
      </w:r>
      <w:r w:rsidR="00546592" w:rsidRPr="00546592">
        <w:rPr>
          <w:b/>
          <w:bCs/>
          <w:i/>
          <w:iCs/>
        </w:rPr>
        <w:t>ection 1</w:t>
      </w:r>
      <w:r w:rsidR="009E186B">
        <w:rPr>
          <w:b/>
          <w:bCs/>
          <w:i/>
          <w:iCs/>
        </w:rPr>
        <w:t>2</w:t>
      </w:r>
      <w:r w:rsidR="00546592" w:rsidRPr="00546592">
        <w:rPr>
          <w:b/>
          <w:bCs/>
          <w:i/>
          <w:iCs/>
        </w:rPr>
        <w:t>(2)</w:t>
      </w:r>
      <w:r w:rsidR="009E186B">
        <w:rPr>
          <w:b/>
          <w:bCs/>
          <w:i/>
          <w:iCs/>
        </w:rPr>
        <w:t xml:space="preserve"> of the </w:t>
      </w:r>
      <w:r w:rsidR="0085520F">
        <w:rPr>
          <w:b/>
          <w:bCs/>
          <w:i/>
          <w:iCs/>
        </w:rPr>
        <w:t xml:space="preserve">Assessment </w:t>
      </w:r>
      <w:r w:rsidR="004F5B1B">
        <w:rPr>
          <w:b/>
          <w:bCs/>
          <w:i/>
          <w:iCs/>
        </w:rPr>
        <w:t>Bill</w:t>
      </w:r>
      <w:r w:rsidR="00546592" w:rsidRPr="00546592">
        <w:rPr>
          <w:b/>
          <w:bCs/>
          <w:i/>
          <w:iCs/>
        </w:rPr>
        <w:t xml:space="preserve">] </w:t>
      </w:r>
    </w:p>
    <w:p w14:paraId="33F4115A" w14:textId="5138478B" w:rsidR="00546592" w:rsidRPr="00546592" w:rsidRDefault="00546592" w:rsidP="00546592">
      <w:pPr>
        <w:numPr>
          <w:ilvl w:val="1"/>
          <w:numId w:val="27"/>
        </w:numPr>
      </w:pPr>
      <w:r w:rsidRPr="00546592">
        <w:t xml:space="preserve">The </w:t>
      </w:r>
      <w:r w:rsidR="001B6468">
        <w:t>GloBE</w:t>
      </w:r>
      <w:r w:rsidRPr="00546592">
        <w:t xml:space="preserve"> threshold is EUR 750 million. This is based on revenue which includes the inflow of economic benefits arising from delivering or producing goods, rendering services, or other activities that constitute the MNE Group’s ordinary activities.</w:t>
      </w:r>
      <w:r w:rsidRPr="00546592">
        <w:br/>
      </w:r>
      <w:r w:rsidRPr="00546592">
        <w:rPr>
          <w:b/>
          <w:bCs/>
          <w:i/>
          <w:iCs/>
        </w:rPr>
        <w:t>[</w:t>
      </w:r>
      <w:r w:rsidR="001514AD">
        <w:rPr>
          <w:b/>
          <w:bCs/>
          <w:i/>
          <w:iCs/>
        </w:rPr>
        <w:t>Subsection</w:t>
      </w:r>
      <w:r w:rsidRPr="00546592">
        <w:rPr>
          <w:b/>
          <w:bCs/>
          <w:i/>
          <w:iCs/>
        </w:rPr>
        <w:t xml:space="preserve"> 1</w:t>
      </w:r>
      <w:r w:rsidR="009E186B">
        <w:rPr>
          <w:b/>
          <w:bCs/>
          <w:i/>
          <w:iCs/>
        </w:rPr>
        <w:t>2</w:t>
      </w:r>
      <w:r w:rsidRPr="00546592">
        <w:rPr>
          <w:b/>
          <w:bCs/>
          <w:i/>
          <w:iCs/>
        </w:rPr>
        <w:t>(3)(a)</w:t>
      </w:r>
      <w:r w:rsidR="009E186B">
        <w:rPr>
          <w:b/>
          <w:bCs/>
          <w:i/>
          <w:iCs/>
        </w:rPr>
        <w:t xml:space="preserve"> of the </w:t>
      </w:r>
      <w:r w:rsidR="0085520F">
        <w:rPr>
          <w:b/>
          <w:bCs/>
          <w:i/>
          <w:iCs/>
        </w:rPr>
        <w:t xml:space="preserve">Assessment </w:t>
      </w:r>
      <w:r w:rsidR="004F5B1B">
        <w:rPr>
          <w:b/>
          <w:bCs/>
          <w:i/>
          <w:iCs/>
        </w:rPr>
        <w:t>Bill</w:t>
      </w:r>
      <w:r w:rsidRPr="00546592">
        <w:rPr>
          <w:b/>
          <w:bCs/>
          <w:i/>
          <w:iCs/>
        </w:rPr>
        <w:t xml:space="preserve">] </w:t>
      </w:r>
    </w:p>
    <w:p w14:paraId="354A8A5B" w14:textId="6D307FFD" w:rsidR="00546592" w:rsidRPr="00546592" w:rsidRDefault="00546592" w:rsidP="002C0AF8">
      <w:pPr>
        <w:keepNext/>
        <w:numPr>
          <w:ilvl w:val="1"/>
          <w:numId w:val="27"/>
        </w:numPr>
      </w:pPr>
      <w:r w:rsidRPr="00546592">
        <w:t xml:space="preserve">However, if a Fiscal Year of the MNE Group is a period other than 12 months, then for each of those Fiscal Years, the EUR 750 million threshold is adjusted proportionally to correspond with the length of the relevant Fiscal Year as follows: </w:t>
      </w:r>
    </w:p>
    <w:p w14:paraId="07AA84AD" w14:textId="77777777" w:rsidR="00546592" w:rsidRPr="00546592" w:rsidRDefault="00E33EFB" w:rsidP="002C0AF8">
      <w:pPr>
        <w:keepNext/>
        <w:jc w:val="center"/>
      </w:pPr>
      <m:oMathPara>
        <m:oMath>
          <m:d>
            <m:dPr>
              <m:ctrlPr>
                <w:rPr>
                  <w:rFonts w:ascii="Cambria Math" w:hAnsi="Cambria Math"/>
                  <w:i/>
                </w:rPr>
              </m:ctrlPr>
            </m:dPr>
            <m:e>
              <m:f>
                <m:fPr>
                  <m:ctrlPr>
                    <w:rPr>
                      <w:rFonts w:ascii="Cambria Math" w:hAnsi="Cambria Math"/>
                      <w:i/>
                    </w:rPr>
                  </m:ctrlPr>
                </m:fPr>
                <m:num>
                  <m:r>
                    <w:rPr>
                      <w:rFonts w:ascii="Cambria Math" w:hAnsi="Cambria Math"/>
                    </w:rPr>
                    <m:t>fiscal</m:t>
                  </m:r>
                  <m:r>
                    <w:rPr>
                      <w:rFonts w:ascii="Cambria Math" w:hAnsi="Cambria Math"/>
                    </w:rPr>
                    <m:t xml:space="preserve"> </m:t>
                  </m:r>
                  <m:r>
                    <w:rPr>
                      <w:rFonts w:ascii="Cambria Math" w:hAnsi="Cambria Math"/>
                    </w:rPr>
                    <m:t>year</m:t>
                  </m:r>
                  <m:r>
                    <w:rPr>
                      <w:rFonts w:ascii="Cambria Math" w:hAnsi="Cambria Math"/>
                    </w:rPr>
                    <m:t xml:space="preserve"> </m:t>
                  </m:r>
                  <m:r>
                    <w:rPr>
                      <w:rFonts w:ascii="Cambria Math" w:hAnsi="Cambria Math"/>
                    </w:rPr>
                    <m:t>period</m:t>
                  </m:r>
                  <m:r>
                    <w:rPr>
                      <w:rFonts w:ascii="Cambria Math" w:hAnsi="Cambria Math"/>
                    </w:rPr>
                    <m:t xml:space="preserve"> </m:t>
                  </m:r>
                  <m:r>
                    <w:rPr>
                      <w:rFonts w:ascii="Cambria Math" w:hAnsi="Cambria Math"/>
                    </w:rPr>
                    <m:t>in</m:t>
                  </m:r>
                  <m:r>
                    <w:rPr>
                      <w:rFonts w:ascii="Cambria Math" w:hAnsi="Cambria Math"/>
                    </w:rPr>
                    <m:t xml:space="preserve"> </m:t>
                  </m:r>
                  <m:r>
                    <w:rPr>
                      <w:rFonts w:ascii="Cambria Math" w:hAnsi="Cambria Math"/>
                    </w:rPr>
                    <m:t>mont</m:t>
                  </m:r>
                  <m:r>
                    <w:rPr>
                      <w:rFonts w:ascii="Cambria Math" w:hAnsi="Cambria Math"/>
                    </w:rPr>
                    <m:t>h</m:t>
                  </m:r>
                  <m:r>
                    <w:rPr>
                      <w:rFonts w:ascii="Cambria Math" w:hAnsi="Cambria Math"/>
                    </w:rPr>
                    <m:t>s</m:t>
                  </m:r>
                </m:num>
                <m:den>
                  <m:r>
                    <w:rPr>
                      <w:rFonts w:ascii="Cambria Math" w:hAnsi="Cambria Math"/>
                    </w:rPr>
                    <m:t>12</m:t>
                  </m:r>
                </m:den>
              </m:f>
              <m:r>
                <w:rPr>
                  <w:rFonts w:ascii="Cambria Math" w:hAnsi="Cambria Math"/>
                </w:rPr>
                <m:t xml:space="preserve"> </m:t>
              </m:r>
            </m:e>
          </m:d>
          <m:r>
            <w:rPr>
              <w:rFonts w:ascii="Cambria Math" w:hAnsi="Cambria Math"/>
            </w:rPr>
            <m:t xml:space="preserve">×750 </m:t>
          </m:r>
          <m:r>
            <w:rPr>
              <w:rFonts w:ascii="Cambria Math" w:hAnsi="Cambria Math"/>
            </w:rPr>
            <m:t>million</m:t>
          </m:r>
        </m:oMath>
      </m:oMathPara>
    </w:p>
    <w:p w14:paraId="33B09C7E" w14:textId="253377D9" w:rsidR="00546592" w:rsidRPr="00546592" w:rsidRDefault="00546592" w:rsidP="00546592">
      <w:pPr>
        <w:ind w:left="709" w:hanging="709"/>
        <w:rPr>
          <w:b/>
          <w:bCs/>
          <w:i/>
          <w:iCs/>
        </w:rPr>
      </w:pPr>
      <w:r w:rsidRPr="00546592">
        <w:br/>
      </w:r>
      <w:r w:rsidRPr="00546592">
        <w:rPr>
          <w:b/>
          <w:bCs/>
          <w:i/>
          <w:iCs/>
        </w:rPr>
        <w:t>[</w:t>
      </w:r>
      <w:r w:rsidR="001514AD">
        <w:rPr>
          <w:b/>
          <w:bCs/>
          <w:i/>
          <w:iCs/>
        </w:rPr>
        <w:t>Subsection</w:t>
      </w:r>
      <w:r w:rsidRPr="00546592">
        <w:rPr>
          <w:b/>
          <w:bCs/>
          <w:i/>
          <w:iCs/>
        </w:rPr>
        <w:t xml:space="preserve"> 1</w:t>
      </w:r>
      <w:r w:rsidR="009E186B">
        <w:rPr>
          <w:b/>
          <w:bCs/>
          <w:i/>
          <w:iCs/>
        </w:rPr>
        <w:t>2</w:t>
      </w:r>
      <w:r w:rsidRPr="00546592">
        <w:rPr>
          <w:b/>
          <w:bCs/>
          <w:i/>
          <w:iCs/>
        </w:rPr>
        <w:t>(3)(b)</w:t>
      </w:r>
      <w:r w:rsidR="007E2463">
        <w:rPr>
          <w:b/>
          <w:bCs/>
          <w:i/>
          <w:iCs/>
        </w:rPr>
        <w:t xml:space="preserve"> of the </w:t>
      </w:r>
      <w:r w:rsidR="0085520F">
        <w:rPr>
          <w:b/>
          <w:bCs/>
          <w:i/>
          <w:iCs/>
        </w:rPr>
        <w:t xml:space="preserve">Assessment </w:t>
      </w:r>
      <w:r w:rsidR="004F5B1B">
        <w:rPr>
          <w:b/>
          <w:bCs/>
          <w:i/>
          <w:iCs/>
        </w:rPr>
        <w:t>Bill</w:t>
      </w:r>
      <w:r w:rsidRPr="00546592">
        <w:rPr>
          <w:b/>
          <w:bCs/>
          <w:i/>
          <w:iCs/>
        </w:rPr>
        <w:t xml:space="preserve">] </w:t>
      </w:r>
    </w:p>
    <w:p w14:paraId="197057BB" w14:textId="77777777" w:rsidR="00546592" w:rsidRPr="00546592" w:rsidRDefault="00546592" w:rsidP="00546592">
      <w:pPr>
        <w:numPr>
          <w:ilvl w:val="1"/>
          <w:numId w:val="27"/>
        </w:numPr>
      </w:pPr>
      <w:r w:rsidRPr="00546592">
        <w:t>The revenue from Joint Operations is included in the revenue threshold calculations but is limited to the portion consolidated in the Group’s CFS. Therefore, the GloBE Income or Loss of such Joint Operations is only included on a proportional basis.</w:t>
      </w:r>
    </w:p>
    <w:p w14:paraId="05E25F21" w14:textId="0374333C" w:rsidR="00546592" w:rsidRPr="00546592" w:rsidRDefault="00546592" w:rsidP="00546592">
      <w:pPr>
        <w:numPr>
          <w:ilvl w:val="1"/>
          <w:numId w:val="47"/>
        </w:numPr>
      </w:pPr>
      <w:r w:rsidRPr="00546592">
        <w:t xml:space="preserve">Revenue amounts are determined in line with the relevant accounting standard, which may allow for netting </w:t>
      </w:r>
      <w:r w:rsidR="000951C6">
        <w:t>of</w:t>
      </w:r>
      <w:r w:rsidRPr="00546592">
        <w:t xml:space="preserve"> discounts, returns and allowances, which are generally reflected in the profit and loss statement. However, if different types of revenue are separately presented in the consolidated profit and loss statement of the consolidated financial statements, they must be aggregated for the purposes of determining the </w:t>
      </w:r>
      <w:r w:rsidR="000951C6">
        <w:t>GloBE</w:t>
      </w:r>
      <w:r w:rsidRPr="00546592">
        <w:t xml:space="preserve"> threshold.</w:t>
      </w:r>
    </w:p>
    <w:p w14:paraId="58681F52" w14:textId="54124B61" w:rsidR="00546592" w:rsidRPr="00546592" w:rsidRDefault="00546592" w:rsidP="00546592">
      <w:pPr>
        <w:numPr>
          <w:ilvl w:val="1"/>
          <w:numId w:val="47"/>
        </w:numPr>
      </w:pPr>
      <w:r w:rsidRPr="00546592">
        <w:t xml:space="preserve">All MNE </w:t>
      </w:r>
      <w:r w:rsidR="000951C6">
        <w:t>G</w:t>
      </w:r>
      <w:r w:rsidRPr="00546592">
        <w:t xml:space="preserve">roups must include net gains from investments (whether realised or unrealised) reflected in the profit and loss statement of the CFS and income or gains separately presented as extraordinary or non-recurring items. </w:t>
      </w:r>
    </w:p>
    <w:p w14:paraId="2D867EAE" w14:textId="4865F656" w:rsidR="00546592" w:rsidRPr="00546592" w:rsidRDefault="00546592" w:rsidP="00546592">
      <w:pPr>
        <w:numPr>
          <w:ilvl w:val="1"/>
          <w:numId w:val="47"/>
        </w:numPr>
      </w:pPr>
      <w:r w:rsidRPr="00546592">
        <w:t xml:space="preserve">Where an MNE Group’s consolidated profit and loss statement presents gross gains from investments and gross losses from investments separately, then the MNE Group must reduce revenues by the amount of such gross losses to the extent of gross gains from investments in determining revenues for the </w:t>
      </w:r>
      <w:r w:rsidR="000951C6">
        <w:t>GloBE</w:t>
      </w:r>
      <w:r w:rsidRPr="00546592">
        <w:t xml:space="preserve"> threshold.</w:t>
      </w:r>
    </w:p>
    <w:p w14:paraId="1BB6B6A6" w14:textId="16D849C4" w:rsidR="00546592" w:rsidRPr="008863D7" w:rsidRDefault="00546592" w:rsidP="00546592">
      <w:pPr>
        <w:numPr>
          <w:ilvl w:val="1"/>
          <w:numId w:val="47"/>
        </w:numPr>
      </w:pPr>
      <w:r w:rsidRPr="00370F74">
        <w:t xml:space="preserve">For financial entities, which may not record gross amounts from transactions in their financial statements with respect to certain items, the item(s) considered similar to revenue under the UPE’s financial accounting standards should be used in the context of financial activities. Those items could be labelled as ‘net banking product’, ‘net revenues’, or others depending on the financial accounting standard. For example, if the income or gains from a financial transaction, such as an interest rate swap, is appropriately reported on a net </w:t>
      </w:r>
      <w:r w:rsidRPr="00370F74">
        <w:lastRenderedPageBreak/>
        <w:t xml:space="preserve">basis under the </w:t>
      </w:r>
      <w:r w:rsidR="008863D7">
        <w:t>UPE’s</w:t>
      </w:r>
      <w:r w:rsidRPr="00370F74">
        <w:t xml:space="preserve"> financial accounting standards, the term ‘revenue’ means the net amount from the transaction.</w:t>
      </w:r>
    </w:p>
    <w:p w14:paraId="4B89C530" w14:textId="26DDB336" w:rsidR="00546592" w:rsidRPr="008863D7" w:rsidRDefault="00546592" w:rsidP="00546592">
      <w:pPr>
        <w:numPr>
          <w:ilvl w:val="1"/>
          <w:numId w:val="27"/>
        </w:numPr>
      </w:pPr>
      <w:r w:rsidRPr="008863D7">
        <w:t xml:space="preserve">Where the UPE </w:t>
      </w:r>
      <w:r w:rsidR="00FF07A2">
        <w:t xml:space="preserve">is not required to </w:t>
      </w:r>
      <w:r w:rsidRPr="008863D7">
        <w:t xml:space="preserve">prepare a CFS, </w:t>
      </w:r>
      <w:r w:rsidR="00EC246F">
        <w:t xml:space="preserve">a </w:t>
      </w:r>
      <w:r w:rsidR="00E40C41">
        <w:t xml:space="preserve">hypothetical </w:t>
      </w:r>
      <w:r w:rsidR="0024414F">
        <w:t>CFS</w:t>
      </w:r>
      <w:r w:rsidR="002A6FE5">
        <w:t xml:space="preserve"> </w:t>
      </w:r>
      <w:r w:rsidR="00EC246F">
        <w:t>is</w:t>
      </w:r>
      <w:r w:rsidR="002A6FE5">
        <w:t xml:space="preserve"> used</w:t>
      </w:r>
      <w:r w:rsidR="00CB0335">
        <w:t xml:space="preserve"> </w:t>
      </w:r>
      <w:r w:rsidR="00014548">
        <w:t xml:space="preserve">based </w:t>
      </w:r>
      <w:r w:rsidR="00EC246F">
        <w:t xml:space="preserve">on </w:t>
      </w:r>
      <w:r w:rsidR="00EC246F" w:rsidRPr="008863D7">
        <w:t xml:space="preserve">the assets, liabilities, income and expenses </w:t>
      </w:r>
      <w:r w:rsidR="00EC246F">
        <w:t>the</w:t>
      </w:r>
      <w:r w:rsidR="00F5639F" w:rsidRPr="008863D7">
        <w:t xml:space="preserve"> </w:t>
      </w:r>
      <w:r w:rsidR="00F5639F">
        <w:t xml:space="preserve">UPE </w:t>
      </w:r>
      <w:r w:rsidR="00F5639F" w:rsidRPr="008863D7">
        <w:t xml:space="preserve">would have been required to consolidate </w:t>
      </w:r>
      <w:r w:rsidR="00EC246F">
        <w:t>in the accounts,</w:t>
      </w:r>
      <w:r w:rsidR="00F5639F">
        <w:t xml:space="preserve"> on the assumption that</w:t>
      </w:r>
      <w:r w:rsidR="002A6FE5">
        <w:t xml:space="preserve"> </w:t>
      </w:r>
      <w:r w:rsidR="00BB3C9A">
        <w:t xml:space="preserve">the relevant Parent Entity </w:t>
      </w:r>
      <w:r w:rsidR="0007490D">
        <w:t>hold</w:t>
      </w:r>
      <w:r w:rsidR="00F5639F">
        <w:t>s</w:t>
      </w:r>
      <w:r w:rsidR="0007490D">
        <w:t xml:space="preserve"> a controlling interest </w:t>
      </w:r>
      <w:r w:rsidR="00FF07A2">
        <w:t>in an entity</w:t>
      </w:r>
      <w:r w:rsidRPr="008863D7">
        <w:t xml:space="preserve"> in which it has an Ownership Interest </w:t>
      </w:r>
      <w:r w:rsidR="00EC246F">
        <w:t>in.</w:t>
      </w:r>
      <w:r w:rsidRPr="008863D7">
        <w:t xml:space="preserve"> This ensure</w:t>
      </w:r>
      <w:r w:rsidR="00FF07A2">
        <w:t>s</w:t>
      </w:r>
      <w:r w:rsidRPr="008863D7">
        <w:t xml:space="preserve"> that </w:t>
      </w:r>
      <w:r w:rsidR="00993E05">
        <w:t>the</w:t>
      </w:r>
      <w:r w:rsidRPr="008863D7">
        <w:t xml:space="preserve"> first Entity is still a UPE. </w:t>
      </w:r>
    </w:p>
    <w:p w14:paraId="48DE2F0B" w14:textId="30DE8632" w:rsidR="00546592" w:rsidRPr="00546592" w:rsidRDefault="00546592" w:rsidP="00F33100">
      <w:pPr>
        <w:pStyle w:val="Heading3"/>
        <w:rPr>
          <w:rFonts w:hint="eastAsia"/>
        </w:rPr>
      </w:pPr>
      <w:r w:rsidRPr="00546592">
        <w:t>Liability to tax</w:t>
      </w:r>
    </w:p>
    <w:p w14:paraId="0EBF9AAB" w14:textId="1AB37EC2" w:rsidR="00546592" w:rsidRPr="00546592" w:rsidRDefault="00546592" w:rsidP="00546592">
      <w:pPr>
        <w:numPr>
          <w:ilvl w:val="1"/>
          <w:numId w:val="3"/>
        </w:numPr>
      </w:pPr>
      <w:r w:rsidRPr="00546592">
        <w:t xml:space="preserve">The adjusted income and taxes of an MNE Group are used to calculate the ETR of a Group in that jurisdiction. Where this calculation results in an ETR that is below 15 per cent, an MNE Group is required to pay a </w:t>
      </w:r>
      <w:r w:rsidR="006E3A35">
        <w:t>t</w:t>
      </w:r>
      <w:r w:rsidR="00943E04">
        <w:t>op-</w:t>
      </w:r>
      <w:r w:rsidR="006E3A35">
        <w:t>u</w:t>
      </w:r>
      <w:r w:rsidR="00943E04">
        <w:t xml:space="preserve">p </w:t>
      </w:r>
      <w:r w:rsidR="006E3A35">
        <w:t>t</w:t>
      </w:r>
      <w:r w:rsidR="00943E04">
        <w:t>ax</w:t>
      </w:r>
      <w:r w:rsidRPr="00546592">
        <w:t xml:space="preserve">, to bring the total amount of tax in that low-tax jurisdiction up to the 15 per cent rate. </w:t>
      </w:r>
    </w:p>
    <w:p w14:paraId="679D4FDC" w14:textId="77777777" w:rsidR="00546592" w:rsidRPr="00546592" w:rsidRDefault="00546592" w:rsidP="00546592">
      <w:pPr>
        <w:numPr>
          <w:ilvl w:val="1"/>
          <w:numId w:val="3"/>
        </w:numPr>
      </w:pPr>
      <w:r w:rsidRPr="00546592">
        <w:t xml:space="preserve">Top-up tax is collected under three types of provisions: the DMT, the IIR and the UTPR. </w:t>
      </w:r>
    </w:p>
    <w:p w14:paraId="190D9E8A" w14:textId="0432E13B" w:rsidR="00546592" w:rsidRPr="00546592" w:rsidRDefault="00546592" w:rsidP="00546592">
      <w:pPr>
        <w:numPr>
          <w:ilvl w:val="1"/>
          <w:numId w:val="47"/>
        </w:numPr>
      </w:pPr>
      <w:r w:rsidRPr="00546592">
        <w:t xml:space="preserve">The imposition of a DMT allows Australia to impose </w:t>
      </w:r>
      <w:r w:rsidR="00E37A10" w:rsidRPr="00E37A10">
        <w:t>additional tax on excess profits of Australian C</w:t>
      </w:r>
      <w:r w:rsidR="006E3A35">
        <w:t>ons</w:t>
      </w:r>
      <w:r w:rsidR="00046851">
        <w:t>t</w:t>
      </w:r>
      <w:r w:rsidR="006E3A35">
        <w:t xml:space="preserve">ituent </w:t>
      </w:r>
      <w:r w:rsidR="00E37A10" w:rsidRPr="00E37A10">
        <w:t>E</w:t>
      </w:r>
      <w:r w:rsidR="006E3A35">
        <w:t>ntitie</w:t>
      </w:r>
      <w:r w:rsidR="00E37A10" w:rsidRPr="00E37A10">
        <w:t>s of MNE Groups</w:t>
      </w:r>
      <w:r w:rsidR="00E37A10">
        <w:t xml:space="preserve"> </w:t>
      </w:r>
      <w:r w:rsidRPr="00546592">
        <w:t>in order to bring the ETR on those profits up to the 15</w:t>
      </w:r>
      <w:r w:rsidR="002445E2">
        <w:t> per cent</w:t>
      </w:r>
      <w:r w:rsidRPr="00546592">
        <w:t xml:space="preserve"> minimum rate. </w:t>
      </w:r>
      <w:r w:rsidRPr="00546592">
        <w:br/>
      </w:r>
      <w:r w:rsidRPr="00546592">
        <w:rPr>
          <w:b/>
          <w:bCs/>
          <w:i/>
          <w:iCs/>
        </w:rPr>
        <w:t>[Section</w:t>
      </w:r>
      <w:r w:rsidR="003E2E2B">
        <w:rPr>
          <w:b/>
          <w:bCs/>
          <w:i/>
          <w:iCs/>
        </w:rPr>
        <w:t>s</w:t>
      </w:r>
      <w:r w:rsidRPr="00546592">
        <w:rPr>
          <w:b/>
          <w:bCs/>
          <w:i/>
          <w:iCs/>
        </w:rPr>
        <w:t xml:space="preserve"> 7 and </w:t>
      </w:r>
      <w:r w:rsidR="00E21381">
        <w:rPr>
          <w:b/>
          <w:bCs/>
          <w:i/>
          <w:iCs/>
        </w:rPr>
        <w:t>8</w:t>
      </w:r>
      <w:r w:rsidRPr="00546592">
        <w:rPr>
          <w:b/>
          <w:bCs/>
          <w:i/>
          <w:iCs/>
        </w:rPr>
        <w:t xml:space="preserve"> of the</w:t>
      </w:r>
      <w:r w:rsidR="003917FA">
        <w:rPr>
          <w:b/>
          <w:bCs/>
          <w:i/>
          <w:iCs/>
        </w:rPr>
        <w:t xml:space="preserve"> </w:t>
      </w:r>
      <w:r w:rsidR="0085520F">
        <w:rPr>
          <w:b/>
          <w:bCs/>
          <w:i/>
          <w:iCs/>
        </w:rPr>
        <w:t xml:space="preserve">Assessment </w:t>
      </w:r>
      <w:r w:rsidR="004F5B1B">
        <w:rPr>
          <w:b/>
          <w:bCs/>
          <w:i/>
          <w:iCs/>
        </w:rPr>
        <w:t>Bill</w:t>
      </w:r>
      <w:r w:rsidRPr="00546592">
        <w:rPr>
          <w:b/>
          <w:bCs/>
          <w:i/>
          <w:iCs/>
        </w:rPr>
        <w:t>]</w:t>
      </w:r>
      <w:r w:rsidRPr="00546592">
        <w:t xml:space="preserve"> </w:t>
      </w:r>
    </w:p>
    <w:p w14:paraId="3A87D206" w14:textId="61DE6785" w:rsidR="00546592" w:rsidRPr="00546592" w:rsidRDefault="00546592" w:rsidP="00546592">
      <w:pPr>
        <w:numPr>
          <w:ilvl w:val="1"/>
          <w:numId w:val="47"/>
        </w:numPr>
      </w:pPr>
      <w:r w:rsidRPr="00546592">
        <w:t>If a jurisdiction where a LTCE is located does not have a DMT, and the UPE is located in Australia, Australia collect</w:t>
      </w:r>
      <w:r w:rsidR="004D688E">
        <w:t>s</w:t>
      </w:r>
      <w:r w:rsidRPr="00546592">
        <w:t xml:space="preserve"> the </w:t>
      </w:r>
      <w:r w:rsidR="006E3A35">
        <w:t>t</w:t>
      </w:r>
      <w:r w:rsidR="00943E04">
        <w:t>op-</w:t>
      </w:r>
      <w:r w:rsidR="006E3A35">
        <w:t>u</w:t>
      </w:r>
      <w:r w:rsidR="00943E04">
        <w:t xml:space="preserve">p </w:t>
      </w:r>
      <w:r w:rsidR="006E3A35">
        <w:t>t</w:t>
      </w:r>
      <w:r w:rsidR="00943E04">
        <w:t>ax</w:t>
      </w:r>
      <w:r w:rsidRPr="00546592">
        <w:t xml:space="preserve"> under the IIR.</w:t>
      </w:r>
      <w:r w:rsidRPr="00546592">
        <w:br/>
      </w:r>
      <w:r w:rsidRPr="00546592">
        <w:rPr>
          <w:b/>
          <w:bCs/>
          <w:i/>
          <w:iCs/>
        </w:rPr>
        <w:t>[Section</w:t>
      </w:r>
      <w:r w:rsidR="003E2E2B">
        <w:rPr>
          <w:b/>
          <w:bCs/>
          <w:i/>
          <w:iCs/>
        </w:rPr>
        <w:t>s</w:t>
      </w:r>
      <w:r w:rsidRPr="00546592">
        <w:rPr>
          <w:b/>
          <w:bCs/>
          <w:i/>
          <w:iCs/>
        </w:rPr>
        <w:t xml:space="preserve"> </w:t>
      </w:r>
      <w:r w:rsidR="003E2E2B">
        <w:rPr>
          <w:b/>
          <w:bCs/>
          <w:i/>
          <w:iCs/>
        </w:rPr>
        <w:t>4</w:t>
      </w:r>
      <w:r w:rsidRPr="00546592">
        <w:rPr>
          <w:b/>
          <w:bCs/>
          <w:i/>
          <w:iCs/>
        </w:rPr>
        <w:t xml:space="preserve"> and </w:t>
      </w:r>
      <w:r w:rsidR="003E2E2B">
        <w:rPr>
          <w:b/>
          <w:bCs/>
          <w:i/>
          <w:iCs/>
        </w:rPr>
        <w:t>5</w:t>
      </w:r>
      <w:r w:rsidRPr="00546592">
        <w:rPr>
          <w:b/>
          <w:bCs/>
          <w:i/>
          <w:iCs/>
        </w:rPr>
        <w:t xml:space="preserve"> of the</w:t>
      </w:r>
      <w:r w:rsidR="003917FA">
        <w:rPr>
          <w:b/>
          <w:bCs/>
          <w:i/>
          <w:iCs/>
        </w:rPr>
        <w:t xml:space="preserve"> </w:t>
      </w:r>
      <w:r w:rsidR="0085520F">
        <w:rPr>
          <w:b/>
          <w:bCs/>
          <w:i/>
          <w:iCs/>
        </w:rPr>
        <w:t xml:space="preserve">Assessment </w:t>
      </w:r>
      <w:r w:rsidR="004F5B1B">
        <w:rPr>
          <w:b/>
          <w:bCs/>
          <w:i/>
          <w:iCs/>
        </w:rPr>
        <w:t>Bill</w:t>
      </w:r>
      <w:r w:rsidRPr="00546592">
        <w:rPr>
          <w:b/>
          <w:bCs/>
          <w:i/>
          <w:iCs/>
        </w:rPr>
        <w:t>]</w:t>
      </w:r>
      <w:r w:rsidRPr="00546592">
        <w:t xml:space="preserve"> </w:t>
      </w:r>
    </w:p>
    <w:p w14:paraId="07910B5F" w14:textId="36E9A6AB" w:rsidR="00546592" w:rsidRPr="00546592" w:rsidRDefault="00546592" w:rsidP="00546592">
      <w:pPr>
        <w:numPr>
          <w:ilvl w:val="1"/>
          <w:numId w:val="47"/>
        </w:numPr>
      </w:pPr>
      <w:r w:rsidRPr="00546592">
        <w:t xml:space="preserve">Where the IIR cannot be applied to a jurisdiction’s low-tax income, </w:t>
      </w:r>
      <w:r w:rsidR="006E3A35">
        <w:t>t</w:t>
      </w:r>
      <w:r w:rsidR="00943E04">
        <w:t>op-</w:t>
      </w:r>
      <w:r w:rsidR="006E3A35">
        <w:t>u</w:t>
      </w:r>
      <w:r w:rsidR="00943E04">
        <w:t xml:space="preserve">p </w:t>
      </w:r>
      <w:r w:rsidR="006E3A35">
        <w:t>ta</w:t>
      </w:r>
      <w:r w:rsidR="00943E04">
        <w:t>x</w:t>
      </w:r>
      <w:r w:rsidRPr="00546592">
        <w:t xml:space="preserve"> is collected by all jurisdictions that have implemented a UTPR. The total amount of </w:t>
      </w:r>
      <w:r w:rsidR="006E3A35">
        <w:t>t</w:t>
      </w:r>
      <w:r w:rsidR="00943E04">
        <w:t>op-</w:t>
      </w:r>
      <w:r w:rsidR="006E3A35">
        <w:t>u</w:t>
      </w:r>
      <w:r w:rsidR="00943E04">
        <w:t xml:space="preserve">p </w:t>
      </w:r>
      <w:r w:rsidR="006E3A35">
        <w:t>t</w:t>
      </w:r>
      <w:r w:rsidR="00943E04">
        <w:t>ax</w:t>
      </w:r>
      <w:r w:rsidRPr="00546592">
        <w:t xml:space="preserve"> is allocated among jurisdictions by reference to a substance-based allocation key. Each jurisdiction collects the </w:t>
      </w:r>
      <w:r w:rsidR="006E3A35">
        <w:t>t</w:t>
      </w:r>
      <w:r w:rsidR="00943E04">
        <w:t>op-</w:t>
      </w:r>
      <w:r w:rsidR="006E3A35">
        <w:t>u</w:t>
      </w:r>
      <w:r w:rsidR="00943E04">
        <w:t xml:space="preserve">p </w:t>
      </w:r>
      <w:r w:rsidR="006E3A35">
        <w:t>t</w:t>
      </w:r>
      <w:r w:rsidR="00943E04">
        <w:t>ax</w:t>
      </w:r>
      <w:r w:rsidRPr="00546592">
        <w:t xml:space="preserve"> by applying the UTPR as a denial of deduction under its existing corporate income tax, or through an equivalent mechanism.</w:t>
      </w:r>
      <w:r w:rsidRPr="00546592">
        <w:br/>
      </w:r>
      <w:r w:rsidRPr="00546592">
        <w:rPr>
          <w:b/>
          <w:bCs/>
          <w:i/>
          <w:iCs/>
        </w:rPr>
        <w:t xml:space="preserve">[Section </w:t>
      </w:r>
      <w:r w:rsidR="00D72403">
        <w:rPr>
          <w:b/>
          <w:bCs/>
          <w:i/>
          <w:iCs/>
        </w:rPr>
        <w:t xml:space="preserve">10 </w:t>
      </w:r>
      <w:r w:rsidRPr="00546592">
        <w:rPr>
          <w:b/>
          <w:bCs/>
          <w:i/>
          <w:iCs/>
        </w:rPr>
        <w:t>of the</w:t>
      </w:r>
      <w:r w:rsidR="003917FA">
        <w:rPr>
          <w:b/>
          <w:bCs/>
          <w:i/>
          <w:iCs/>
        </w:rPr>
        <w:t xml:space="preserve"> </w:t>
      </w:r>
      <w:r w:rsidR="0085520F">
        <w:rPr>
          <w:b/>
          <w:bCs/>
          <w:i/>
          <w:iCs/>
        </w:rPr>
        <w:t xml:space="preserve">Assessment </w:t>
      </w:r>
      <w:r w:rsidR="004F5B1B">
        <w:rPr>
          <w:b/>
          <w:bCs/>
          <w:i/>
          <w:iCs/>
        </w:rPr>
        <w:t>Bill</w:t>
      </w:r>
      <w:r w:rsidRPr="00546592">
        <w:rPr>
          <w:b/>
          <w:bCs/>
          <w:i/>
          <w:iCs/>
        </w:rPr>
        <w:t>]</w:t>
      </w:r>
      <w:r w:rsidRPr="00546592">
        <w:t xml:space="preserve">  </w:t>
      </w:r>
    </w:p>
    <w:p w14:paraId="5A3F995F" w14:textId="77777777" w:rsidR="00B556C9" w:rsidRDefault="00B556C9" w:rsidP="00B556C9">
      <w:pPr>
        <w:pStyle w:val="Heading3"/>
        <w:rPr>
          <w:rFonts w:hint="eastAsia"/>
        </w:rPr>
      </w:pPr>
      <w:r>
        <w:t xml:space="preserve">Keeping of records </w:t>
      </w:r>
    </w:p>
    <w:p w14:paraId="54EBA821" w14:textId="30A558E5" w:rsidR="00B556C9" w:rsidRDefault="00B556C9" w:rsidP="00B556C9">
      <w:pPr>
        <w:pStyle w:val="Normalparatextwithnumbers"/>
      </w:pPr>
      <w:r>
        <w:t xml:space="preserve">The Assessment </w:t>
      </w:r>
      <w:r w:rsidR="004F5B1B">
        <w:t>Bill</w:t>
      </w:r>
      <w:r>
        <w:t xml:space="preserve"> ensures Constituent Entities are required to keep records that are necessary for the collection and recovery of GloBE top-up tax and Domestic top-up tax.</w:t>
      </w:r>
      <w:r w:rsidRPr="00835CD5">
        <w:t xml:space="preserve"> </w:t>
      </w:r>
      <w:r>
        <w:t xml:space="preserve">Constituent Entities are </w:t>
      </w:r>
      <w:r w:rsidRPr="00470B63">
        <w:t>require</w:t>
      </w:r>
      <w:r>
        <w:t>d</w:t>
      </w:r>
      <w:r w:rsidRPr="00470B63">
        <w:t xml:space="preserve"> </w:t>
      </w:r>
      <w:r>
        <w:t xml:space="preserve">to </w:t>
      </w:r>
      <w:r w:rsidRPr="00470B63">
        <w:t>keep</w:t>
      </w:r>
      <w:r>
        <w:t xml:space="preserve"> </w:t>
      </w:r>
      <w:r w:rsidRPr="00470B63">
        <w:t xml:space="preserve">records </w:t>
      </w:r>
      <w:r>
        <w:t>that fully explain whether the Constituent Entity of the Applicable MNE Group has complied with the</w:t>
      </w:r>
      <w:r w:rsidRPr="00470B63">
        <w:t xml:space="preserve"> </w:t>
      </w:r>
      <w:r>
        <w:t xml:space="preserve">Assessment </w:t>
      </w:r>
      <w:r w:rsidR="004F5B1B">
        <w:t>Bill</w:t>
      </w:r>
      <w:r>
        <w:t>.</w:t>
      </w:r>
      <w:r w:rsidRPr="00470B63">
        <w:t xml:space="preserve"> The requirement to keep records applies to </w:t>
      </w:r>
      <w:r>
        <w:t>Constituent E</w:t>
      </w:r>
      <w:r w:rsidRPr="00470B63">
        <w:t>ntities</w:t>
      </w:r>
      <w:r>
        <w:t xml:space="preserve"> located in Australia</w:t>
      </w:r>
      <w:r w:rsidRPr="00470B63">
        <w:t xml:space="preserve"> notwithstanding that the GloBE Information Return may be lodged overseas and then exchanged with the </w:t>
      </w:r>
      <w:r w:rsidRPr="00470B63">
        <w:lastRenderedPageBreak/>
        <w:t>Commissioner.</w:t>
      </w:r>
      <w:r>
        <w:br/>
      </w:r>
      <w:r w:rsidRPr="00140ADB">
        <w:rPr>
          <w:rStyle w:val="References"/>
        </w:rPr>
        <w:t>[Section 26</w:t>
      </w:r>
      <w:r>
        <w:rPr>
          <w:rStyle w:val="References"/>
        </w:rPr>
        <w:t xml:space="preserve"> of the </w:t>
      </w:r>
      <w:r w:rsidR="00D64FF1">
        <w:rPr>
          <w:rStyle w:val="References"/>
        </w:rPr>
        <w:t>Assessment</w:t>
      </w:r>
      <w:r>
        <w:rPr>
          <w:rStyle w:val="References"/>
        </w:rPr>
        <w:t xml:space="preserve"> Bill</w:t>
      </w:r>
      <w:r w:rsidRPr="009131A6">
        <w:rPr>
          <w:rStyle w:val="References"/>
        </w:rPr>
        <w:t xml:space="preserve">] </w:t>
      </w:r>
    </w:p>
    <w:p w14:paraId="6F9DD2ED" w14:textId="7CD98B9B" w:rsidR="00B556C9" w:rsidRDefault="00B556C9" w:rsidP="00B556C9">
      <w:pPr>
        <w:pStyle w:val="Normalparatextwithnumbers"/>
      </w:pPr>
      <w:r w:rsidRPr="005844FF">
        <w:t>This obligation</w:t>
      </w:r>
      <w:r>
        <w:t xml:space="preserve"> to keep records</w:t>
      </w:r>
      <w:r w:rsidRPr="005844FF">
        <w:t xml:space="preserve"> relates to records in respect of </w:t>
      </w:r>
      <w:r>
        <w:t xml:space="preserve">the operation and </w:t>
      </w:r>
      <w:r w:rsidRPr="005844FF">
        <w:t xml:space="preserve">application of the provisions of the </w:t>
      </w:r>
      <w:r>
        <w:t xml:space="preserve">Assessment </w:t>
      </w:r>
      <w:r w:rsidR="004F5B1B">
        <w:t>Bill</w:t>
      </w:r>
      <w:r>
        <w:t xml:space="preserve">. Records must be kept in writing in English, or so as to enable the records to be readily accessible and convertible to English, and must enable the Constituent Entity’s liability to top-up tax to be readily ascertainable. </w:t>
      </w:r>
      <w:r w:rsidRPr="005844FF">
        <w:t>Excluded Entities</w:t>
      </w:r>
      <w:r>
        <w:t>,</w:t>
      </w:r>
      <w:r w:rsidRPr="005844FF">
        <w:t xml:space="preserve"> who are excluded from the scope of the GloBE Rules and do not have obligations to lodge a GloBE Information Return</w:t>
      </w:r>
      <w:r>
        <w:t>,</w:t>
      </w:r>
      <w:r w:rsidRPr="005844FF">
        <w:t xml:space="preserve"> Australian GloBE Tax Return or DMT Return, </w:t>
      </w:r>
      <w:r>
        <w:t>are</w:t>
      </w:r>
      <w:r w:rsidRPr="005844FF">
        <w:t xml:space="preserve"> required to keep records to explain their determination as being an Excluded Entity.</w:t>
      </w:r>
      <w:r>
        <w:br/>
      </w:r>
      <w:r w:rsidRPr="00C2240B">
        <w:rPr>
          <w:rStyle w:val="References"/>
        </w:rPr>
        <w:t>[S</w:t>
      </w:r>
      <w:r>
        <w:rPr>
          <w:rStyle w:val="References"/>
        </w:rPr>
        <w:t>ubsection 26(2) of the Assessment Bill</w:t>
      </w:r>
      <w:r w:rsidRPr="00C2240B">
        <w:rPr>
          <w:rStyle w:val="References"/>
        </w:rPr>
        <w:t xml:space="preserve">] </w:t>
      </w:r>
    </w:p>
    <w:p w14:paraId="14B1BF3E" w14:textId="72245115" w:rsidR="00B556C9" w:rsidRPr="00646F92" w:rsidRDefault="00B556C9" w:rsidP="00B556C9">
      <w:pPr>
        <w:pStyle w:val="Normalparatextwithnumbers"/>
        <w:rPr>
          <w:rStyle w:val="References"/>
          <w:b w:val="0"/>
          <w:bCs w:val="0"/>
          <w:i w:val="0"/>
          <w:iCs w:val="0"/>
        </w:rPr>
      </w:pPr>
      <w:r w:rsidRPr="00AA7E6B">
        <w:rPr>
          <w:rStyle w:val="References"/>
          <w:b w:val="0"/>
          <w:i w:val="0"/>
        </w:rPr>
        <w:t>For the purposes of whether an Entity has complied with the</w:t>
      </w:r>
      <w:r>
        <w:rPr>
          <w:rStyle w:val="References"/>
          <w:b w:val="0"/>
          <w:i w:val="0"/>
        </w:rPr>
        <w:t xml:space="preserve"> Assessment </w:t>
      </w:r>
      <w:r w:rsidR="004F5B1B">
        <w:rPr>
          <w:rStyle w:val="References"/>
          <w:b w:val="0"/>
          <w:i w:val="0"/>
        </w:rPr>
        <w:t>Bill</w:t>
      </w:r>
      <w:r w:rsidRPr="00AA7E6B">
        <w:rPr>
          <w:rStyle w:val="References"/>
          <w:b w:val="0"/>
          <w:i w:val="0"/>
        </w:rPr>
        <w:t xml:space="preserve">, such records that must be kept include (but </w:t>
      </w:r>
      <w:r>
        <w:rPr>
          <w:rStyle w:val="References"/>
          <w:b w:val="0"/>
          <w:i w:val="0"/>
        </w:rPr>
        <w:t>are</w:t>
      </w:r>
      <w:r w:rsidRPr="00AA7E6B">
        <w:rPr>
          <w:rStyle w:val="References"/>
          <w:b w:val="0"/>
          <w:i w:val="0"/>
        </w:rPr>
        <w:t xml:space="preserve"> not limited to) all records that explain and show the basis of every disclosure in the GloBE Information Return lodged or exchanged with the Commissioner.</w:t>
      </w:r>
    </w:p>
    <w:p w14:paraId="02026BCB" w14:textId="7C1C05AA" w:rsidR="00B556C9" w:rsidRPr="003E0019" w:rsidRDefault="00B556C9" w:rsidP="00B556C9">
      <w:pPr>
        <w:pStyle w:val="Normalparatextwithnumbers"/>
        <w:rPr>
          <w:rStyle w:val="References"/>
          <w:b w:val="0"/>
          <w:bCs w:val="0"/>
          <w:i w:val="0"/>
          <w:iCs w:val="0"/>
        </w:rPr>
      </w:pPr>
      <w:r>
        <w:t xml:space="preserve">Records must be kept until the end of 8 years after those records were prepared or obtained, or the completion of the transactions or acts to which those records relate, whichever is the later. </w:t>
      </w:r>
      <w:r w:rsidRPr="004A2FF0">
        <w:t xml:space="preserve">The length of this record keeping retention period is </w:t>
      </w:r>
      <w:r>
        <w:t xml:space="preserve">necessary given the extended period of time the treatment and calculations under the Assessment </w:t>
      </w:r>
      <w:r w:rsidR="004F5B1B">
        <w:t>Bill</w:t>
      </w:r>
      <w:r>
        <w:t xml:space="preserve"> operate, as well as the relatively long timeframes for lodgment and exchange of</w:t>
      </w:r>
      <w:r w:rsidRPr="004A2FF0">
        <w:t xml:space="preserve"> the GloBE Information Return.  </w:t>
      </w:r>
      <w:r>
        <w:br/>
      </w:r>
      <w:r w:rsidRPr="00216E14">
        <w:rPr>
          <w:rStyle w:val="References"/>
        </w:rPr>
        <w:t>[</w:t>
      </w:r>
      <w:r>
        <w:rPr>
          <w:rStyle w:val="References"/>
        </w:rPr>
        <w:t xml:space="preserve">Subsection </w:t>
      </w:r>
      <w:r w:rsidRPr="00216E14">
        <w:rPr>
          <w:rStyle w:val="References"/>
        </w:rPr>
        <w:t>26</w:t>
      </w:r>
      <w:r>
        <w:rPr>
          <w:rStyle w:val="References"/>
        </w:rPr>
        <w:t>(3) of the Assessment Bill</w:t>
      </w:r>
      <w:r w:rsidRPr="00216E14">
        <w:rPr>
          <w:rStyle w:val="References"/>
        </w:rPr>
        <w:t>]</w:t>
      </w:r>
    </w:p>
    <w:p w14:paraId="31EDFC0D" w14:textId="285398B0" w:rsidR="00B556C9" w:rsidRDefault="00B556C9" w:rsidP="00B556C9">
      <w:pPr>
        <w:pStyle w:val="Normalparatextwithnumbers"/>
      </w:pPr>
      <w:r>
        <w:rPr>
          <w:rStyle w:val="References"/>
          <w:b w:val="0"/>
          <w:bCs w:val="0"/>
          <w:i w:val="0"/>
          <w:iCs w:val="0"/>
        </w:rPr>
        <w:t>The retention period is extended where the underlying period of review is extended. T</w:t>
      </w:r>
      <w:r>
        <w:t>he records must be kept until the later of the original 8 year period or the end of the period of review as extended.</w:t>
      </w:r>
      <w:r>
        <w:rPr>
          <w:rStyle w:val="References"/>
          <w:b w:val="0"/>
          <w:bCs w:val="0"/>
          <w:i w:val="0"/>
          <w:iCs w:val="0"/>
        </w:rPr>
        <w:br/>
      </w:r>
      <w:r w:rsidRPr="003E0019">
        <w:rPr>
          <w:rStyle w:val="References"/>
        </w:rPr>
        <w:t>[</w:t>
      </w:r>
      <w:r w:rsidR="001514AD">
        <w:rPr>
          <w:rStyle w:val="References"/>
        </w:rPr>
        <w:t>Subsection</w:t>
      </w:r>
      <w:r>
        <w:rPr>
          <w:rStyle w:val="References"/>
        </w:rPr>
        <w:t xml:space="preserve"> 26(3)(c) of the Assessment Bill</w:t>
      </w:r>
      <w:r w:rsidRPr="003E0019">
        <w:rPr>
          <w:rStyle w:val="References"/>
        </w:rPr>
        <w:t xml:space="preserve">] </w:t>
      </w:r>
    </w:p>
    <w:p w14:paraId="11EB4623" w14:textId="77777777" w:rsidR="00B556C9" w:rsidRDefault="00B556C9" w:rsidP="00B556C9">
      <w:pPr>
        <w:pStyle w:val="Normalparatextwithnumbers"/>
      </w:pPr>
      <w:r>
        <w:t xml:space="preserve">Failure to meet the obligations to keep records is an offence of strict liability. The current penalty is 30 penalty units. </w:t>
      </w:r>
      <w:r>
        <w:br/>
      </w:r>
      <w:r w:rsidRPr="00216E14">
        <w:rPr>
          <w:rStyle w:val="References"/>
        </w:rPr>
        <w:t>[</w:t>
      </w:r>
      <w:r>
        <w:rPr>
          <w:rStyle w:val="References"/>
        </w:rPr>
        <w:t>Subsection 26(4) of the Assessment Bill</w:t>
      </w:r>
      <w:r w:rsidRPr="00216E14">
        <w:rPr>
          <w:rStyle w:val="References"/>
        </w:rPr>
        <w:t xml:space="preserve">] </w:t>
      </w:r>
    </w:p>
    <w:p w14:paraId="09EE54CE" w14:textId="08285D52" w:rsidR="00B556C9" w:rsidRPr="003E7A1A" w:rsidRDefault="00B556C9" w:rsidP="00B556C9">
      <w:pPr>
        <w:pStyle w:val="Normalparatextwithnumbers"/>
        <w:rPr>
          <w:rStyle w:val="References"/>
          <w:b w:val="0"/>
          <w:bCs w:val="0"/>
          <w:i w:val="0"/>
          <w:iCs w:val="0"/>
        </w:rPr>
      </w:pPr>
      <w:r>
        <w:t xml:space="preserve">As the Assessment </w:t>
      </w:r>
      <w:r w:rsidR="004F5B1B">
        <w:t>Bill</w:t>
      </w:r>
      <w:r>
        <w:t xml:space="preserve"> is a ‘taxation law’, the existing administrative penalty for a failure to keep or retain records, in</w:t>
      </w:r>
      <w:r w:rsidRPr="00F44EC9">
        <w:t xml:space="preserve"> </w:t>
      </w:r>
      <w:r>
        <w:t>section 288-25 of Schedule 1 to TAA 1953 may apply in respect of this record-keeping requirement. The current penalty is 20 penalty units.</w:t>
      </w:r>
      <w:r w:rsidRPr="003E7A1A">
        <w:t xml:space="preserve"> </w:t>
      </w:r>
      <w:r>
        <w:t xml:space="preserve">Further, the existing record-keeping offences in sections 8L, 8Q and 8T of the TAA 1953 may apply where the relevant elements are met. </w:t>
      </w:r>
      <w:r>
        <w:br/>
      </w:r>
      <w:r w:rsidRPr="00D71308">
        <w:rPr>
          <w:rStyle w:val="References"/>
        </w:rPr>
        <w:t>[</w:t>
      </w:r>
      <w:r>
        <w:rPr>
          <w:rStyle w:val="References"/>
        </w:rPr>
        <w:t>Subsection 26(1), note 1 of the Assessment Bill</w:t>
      </w:r>
      <w:r w:rsidRPr="00D71308">
        <w:rPr>
          <w:rStyle w:val="References"/>
        </w:rPr>
        <w:t xml:space="preserve">] </w:t>
      </w:r>
    </w:p>
    <w:p w14:paraId="626DF129" w14:textId="77777777" w:rsidR="00546592" w:rsidRPr="00546592" w:rsidRDefault="00546592" w:rsidP="00F33100">
      <w:pPr>
        <w:pStyle w:val="Heading3"/>
        <w:rPr>
          <w:rFonts w:hint="eastAsia"/>
        </w:rPr>
      </w:pPr>
      <w:r w:rsidRPr="00546592">
        <w:t>Interpretation</w:t>
      </w:r>
    </w:p>
    <w:p w14:paraId="2EC98DD5" w14:textId="3021B7F7" w:rsidR="00546592" w:rsidRPr="00546592" w:rsidRDefault="00546592" w:rsidP="00546592">
      <w:pPr>
        <w:numPr>
          <w:ilvl w:val="1"/>
          <w:numId w:val="47"/>
        </w:numPr>
        <w:rPr>
          <w:bCs/>
          <w:iCs/>
        </w:rPr>
      </w:pPr>
      <w:r w:rsidRPr="00546592">
        <w:t xml:space="preserve">The provisions of the </w:t>
      </w:r>
      <w:r w:rsidR="0085520F">
        <w:t xml:space="preserve">Assessment </w:t>
      </w:r>
      <w:r w:rsidR="004F5B1B">
        <w:t>Bill</w:t>
      </w:r>
      <w:r w:rsidR="00680460">
        <w:t xml:space="preserve"> </w:t>
      </w:r>
      <w:r w:rsidRPr="00546592">
        <w:t xml:space="preserve">including </w:t>
      </w:r>
      <w:r w:rsidR="004F5B1B">
        <w:t>t</w:t>
      </w:r>
      <w:r w:rsidRPr="00546592">
        <w:t xml:space="preserve">he </w:t>
      </w:r>
      <w:r w:rsidR="001A59A8">
        <w:t>Rules</w:t>
      </w:r>
      <w:r w:rsidR="001A59A8" w:rsidRPr="00546592">
        <w:t xml:space="preserve"> </w:t>
      </w:r>
      <w:r w:rsidRPr="00546592">
        <w:t xml:space="preserve">made for the purposes of provisions under the </w:t>
      </w:r>
      <w:r w:rsidR="0085520F">
        <w:t xml:space="preserve">Assessment </w:t>
      </w:r>
      <w:r w:rsidR="004F5B1B">
        <w:t>Bill</w:t>
      </w:r>
      <w:r w:rsidRPr="00546592">
        <w:t xml:space="preserve"> are to be interpreted in a </w:t>
      </w:r>
      <w:r w:rsidRPr="00546592">
        <w:lastRenderedPageBreak/>
        <w:t xml:space="preserve">manner consistent with the </w:t>
      </w:r>
      <w:r w:rsidRPr="002445E2">
        <w:t>GloBE Rules, Commentary, Examples, Administrative Guidance, GloBE Implementation Framework,</w:t>
      </w:r>
      <w:r w:rsidRPr="00546592">
        <w:t xml:space="preserve"> and a document, or part of a document prescribed by the </w:t>
      </w:r>
      <w:r w:rsidR="000514D3">
        <w:t>Rules</w:t>
      </w:r>
      <w:r w:rsidRPr="00546592">
        <w:t xml:space="preserve">. </w:t>
      </w:r>
      <w:r w:rsidRPr="00546592">
        <w:br/>
      </w:r>
      <w:r w:rsidRPr="00546592">
        <w:rPr>
          <w:b/>
          <w:bCs/>
          <w:i/>
          <w:iCs/>
        </w:rPr>
        <w:t>[</w:t>
      </w:r>
      <w:r w:rsidR="001514AD">
        <w:rPr>
          <w:b/>
          <w:bCs/>
          <w:i/>
          <w:iCs/>
        </w:rPr>
        <w:t>S</w:t>
      </w:r>
      <w:r w:rsidRPr="00546592">
        <w:rPr>
          <w:b/>
          <w:bCs/>
          <w:i/>
          <w:iCs/>
        </w:rPr>
        <w:t xml:space="preserve">ubsection </w:t>
      </w:r>
      <w:r w:rsidR="00B43381">
        <w:rPr>
          <w:b/>
          <w:bCs/>
          <w:i/>
          <w:iCs/>
        </w:rPr>
        <w:t>3</w:t>
      </w:r>
      <w:r w:rsidRPr="00546592">
        <w:rPr>
          <w:b/>
          <w:bCs/>
          <w:i/>
          <w:iCs/>
        </w:rPr>
        <w:t>(1)</w:t>
      </w:r>
      <w:r w:rsidR="005D7E91">
        <w:rPr>
          <w:b/>
          <w:bCs/>
          <w:i/>
          <w:iCs/>
        </w:rPr>
        <w:t xml:space="preserve"> of the </w:t>
      </w:r>
      <w:r w:rsidR="0085520F">
        <w:rPr>
          <w:b/>
          <w:bCs/>
          <w:i/>
          <w:iCs/>
        </w:rPr>
        <w:t xml:space="preserve">Assessment </w:t>
      </w:r>
      <w:r w:rsidR="004F5B1B">
        <w:rPr>
          <w:b/>
          <w:bCs/>
          <w:i/>
          <w:iCs/>
        </w:rPr>
        <w:t>Bill</w:t>
      </w:r>
      <w:r w:rsidRPr="00546592">
        <w:rPr>
          <w:b/>
          <w:bCs/>
          <w:i/>
          <w:iCs/>
        </w:rPr>
        <w:t xml:space="preserve">] </w:t>
      </w:r>
    </w:p>
    <w:p w14:paraId="76ABC59A" w14:textId="0291B90D" w:rsidR="001D5C25" w:rsidRDefault="001D5C25" w:rsidP="00546592">
      <w:pPr>
        <w:numPr>
          <w:ilvl w:val="1"/>
          <w:numId w:val="47"/>
        </w:numPr>
      </w:pPr>
      <w:r w:rsidRPr="0077680D">
        <w:t>Th</w:t>
      </w:r>
      <w:r>
        <w:t xml:space="preserve">is is because </w:t>
      </w:r>
      <w:r w:rsidR="005965D0">
        <w:t>the</w:t>
      </w:r>
      <w:r w:rsidRPr="0077680D">
        <w:t xml:space="preserve"> GloBE </w:t>
      </w:r>
      <w:r w:rsidR="006E3A35">
        <w:t>R</w:t>
      </w:r>
      <w:r w:rsidRPr="0077680D">
        <w:t>ules operate as a common approach</w:t>
      </w:r>
      <w:r>
        <w:t xml:space="preserve"> meaning </w:t>
      </w:r>
      <w:r w:rsidRPr="0077680D">
        <w:t xml:space="preserve">that jurisdictions </w:t>
      </w:r>
      <w:r>
        <w:t xml:space="preserve">that decide to </w:t>
      </w:r>
      <w:r w:rsidRPr="0077680D">
        <w:t xml:space="preserve">adopt the GloBE </w:t>
      </w:r>
      <w:r w:rsidR="006E3A35">
        <w:t>R</w:t>
      </w:r>
      <w:r w:rsidRPr="0077680D">
        <w:t>ules have agreed</w:t>
      </w:r>
      <w:r>
        <w:t xml:space="preserve"> to </w:t>
      </w:r>
      <w:r w:rsidRPr="0077680D">
        <w:t xml:space="preserve">implement them in a way that is consistent with the outcomes provided under the GloBE </w:t>
      </w:r>
      <w:r w:rsidR="006E3A35">
        <w:t>R</w:t>
      </w:r>
      <w:r w:rsidRPr="0077680D">
        <w:t>ules including the agreed rule order</w:t>
      </w:r>
      <w:r>
        <w:t>.</w:t>
      </w:r>
    </w:p>
    <w:p w14:paraId="0552F95A" w14:textId="189B471D" w:rsidR="00546592" w:rsidRPr="00546592" w:rsidRDefault="00546592" w:rsidP="00546592">
      <w:pPr>
        <w:numPr>
          <w:ilvl w:val="1"/>
          <w:numId w:val="47"/>
        </w:numPr>
      </w:pPr>
      <w:r w:rsidRPr="00546592">
        <w:t xml:space="preserve">The </w:t>
      </w:r>
      <w:r w:rsidR="001A59A8">
        <w:t>Rules</w:t>
      </w:r>
      <w:r w:rsidR="001A59A8" w:rsidRPr="00546592">
        <w:t xml:space="preserve"> </w:t>
      </w:r>
      <w:r w:rsidRPr="00546592">
        <w:t xml:space="preserve">may also prescribe that a document or part of a document be disregarded in interpreting the </w:t>
      </w:r>
      <w:r w:rsidR="00B3356B">
        <w:t xml:space="preserve">Assessment </w:t>
      </w:r>
      <w:r w:rsidR="004F5B1B">
        <w:t>Bill</w:t>
      </w:r>
      <w:r w:rsidRPr="00546592">
        <w:t xml:space="preserve">. This provides for the circumstances where it is necessary to interpret a provision of the </w:t>
      </w:r>
      <w:r w:rsidR="0085520F">
        <w:t xml:space="preserve">Assessment </w:t>
      </w:r>
      <w:r w:rsidR="004F5B1B">
        <w:t>Bill</w:t>
      </w:r>
      <w:r w:rsidRPr="00546592">
        <w:t xml:space="preserve"> in a manner that is inconsistent with parts of a document. It can also be used to resolve inconsistencies between documents for the purposes of interpreting the </w:t>
      </w:r>
      <w:r w:rsidR="0085520F">
        <w:t xml:space="preserve">Assessment </w:t>
      </w:r>
      <w:r w:rsidR="004F5B1B">
        <w:t>Bill</w:t>
      </w:r>
      <w:r w:rsidRPr="00546592">
        <w:t>.</w:t>
      </w:r>
      <w:r w:rsidRPr="00546592">
        <w:br/>
      </w:r>
      <w:r w:rsidRPr="00546592">
        <w:rPr>
          <w:b/>
          <w:bCs/>
          <w:i/>
          <w:iCs/>
        </w:rPr>
        <w:t>[</w:t>
      </w:r>
      <w:r w:rsidR="001514AD">
        <w:rPr>
          <w:b/>
          <w:bCs/>
          <w:i/>
          <w:iCs/>
        </w:rPr>
        <w:t>S</w:t>
      </w:r>
      <w:r w:rsidRPr="00546592">
        <w:rPr>
          <w:b/>
          <w:bCs/>
          <w:i/>
          <w:iCs/>
        </w:rPr>
        <w:t xml:space="preserve">ubsection </w:t>
      </w:r>
      <w:r w:rsidR="000D7C15">
        <w:rPr>
          <w:b/>
          <w:bCs/>
          <w:i/>
          <w:iCs/>
        </w:rPr>
        <w:t>3</w:t>
      </w:r>
      <w:r w:rsidRPr="00546592">
        <w:rPr>
          <w:b/>
          <w:bCs/>
          <w:i/>
          <w:iCs/>
        </w:rPr>
        <w:t>(2)</w:t>
      </w:r>
      <w:r w:rsidR="005D7E91">
        <w:rPr>
          <w:b/>
          <w:bCs/>
          <w:i/>
          <w:iCs/>
        </w:rPr>
        <w:t xml:space="preserve"> of the </w:t>
      </w:r>
      <w:r w:rsidR="0085520F">
        <w:rPr>
          <w:b/>
          <w:bCs/>
          <w:i/>
          <w:iCs/>
        </w:rPr>
        <w:t xml:space="preserve">Assessment </w:t>
      </w:r>
      <w:r w:rsidR="004F5B1B">
        <w:rPr>
          <w:b/>
          <w:bCs/>
          <w:i/>
          <w:iCs/>
        </w:rPr>
        <w:t>Bill</w:t>
      </w:r>
      <w:r w:rsidRPr="00546592">
        <w:rPr>
          <w:b/>
          <w:bCs/>
          <w:i/>
          <w:iCs/>
        </w:rPr>
        <w:t xml:space="preserve">] </w:t>
      </w:r>
    </w:p>
    <w:p w14:paraId="195C08A4" w14:textId="021A5D26" w:rsidR="006C48C2" w:rsidRDefault="006C48C2" w:rsidP="00546592">
      <w:pPr>
        <w:numPr>
          <w:ilvl w:val="1"/>
          <w:numId w:val="47"/>
        </w:numPr>
      </w:pPr>
      <w:r w:rsidRPr="006C48C2">
        <w:t xml:space="preserve">The provisions of the </w:t>
      </w:r>
      <w:r w:rsidR="0085520F">
        <w:t xml:space="preserve">Assessment </w:t>
      </w:r>
      <w:r w:rsidR="004F5B1B">
        <w:t>Bill</w:t>
      </w:r>
      <w:r w:rsidR="00CF0AE1">
        <w:t xml:space="preserve"> </w:t>
      </w:r>
      <w:r w:rsidRPr="006C48C2">
        <w:t xml:space="preserve">and </w:t>
      </w:r>
      <w:r w:rsidR="004F5B1B">
        <w:t>t</w:t>
      </w:r>
      <w:r w:rsidRPr="006C48C2">
        <w:t>he Rules also use common financial accounting terms that are not defined. When principle</w:t>
      </w:r>
      <w:r w:rsidR="00CF0AE1">
        <w:t>s</w:t>
      </w:r>
      <w:r w:rsidRPr="006C48C2">
        <w:t xml:space="preserve"> that rel</w:t>
      </w:r>
      <w:r w:rsidR="00CF0AE1">
        <w:t>y</w:t>
      </w:r>
      <w:r w:rsidRPr="006C48C2">
        <w:t xml:space="preserve"> on financial accounting, or financial accounting terminology or concepts that are not defined are used</w:t>
      </w:r>
      <w:r w:rsidR="00CF0AE1">
        <w:t>,</w:t>
      </w:r>
      <w:r w:rsidRPr="006C48C2">
        <w:t xml:space="preserve"> such terms and concepts should be interpreted consistent</w:t>
      </w:r>
      <w:r w:rsidR="006E3A35">
        <w:t>ly</w:t>
      </w:r>
      <w:r w:rsidRPr="006C48C2">
        <w:t xml:space="preserve"> with the meaning given to them in financial accounting standards and guidance. </w:t>
      </w:r>
    </w:p>
    <w:p w14:paraId="5B34A46C" w14:textId="5D2B7CC7" w:rsidR="00546592" w:rsidRPr="00546592" w:rsidRDefault="00546592" w:rsidP="00546592">
      <w:pPr>
        <w:numPr>
          <w:ilvl w:val="1"/>
          <w:numId w:val="47"/>
        </w:numPr>
      </w:pPr>
      <w:r w:rsidRPr="00546592">
        <w:t xml:space="preserve">The </w:t>
      </w:r>
      <w:r w:rsidR="00A1290C">
        <w:t>OECD</w:t>
      </w:r>
      <w:r w:rsidRPr="00546592">
        <w:t xml:space="preserve"> GloBE </w:t>
      </w:r>
      <w:r w:rsidR="009D388D">
        <w:t xml:space="preserve">Model </w:t>
      </w:r>
      <w:r w:rsidR="009D388D" w:rsidRPr="00546592">
        <w:t>Rules</w:t>
      </w:r>
      <w:r w:rsidR="009D388D">
        <w:t xml:space="preserve">, Commentary and Agreed Administrative Guidance </w:t>
      </w:r>
      <w:r w:rsidRPr="00546592">
        <w:t xml:space="preserve">published by the OECD are defined with reference to their full titles. </w:t>
      </w:r>
      <w:r w:rsidRPr="00546592">
        <w:br/>
      </w:r>
      <w:r w:rsidRPr="00546592">
        <w:rPr>
          <w:b/>
          <w:bCs/>
          <w:i/>
          <w:iCs/>
        </w:rPr>
        <w:t>[</w:t>
      </w:r>
      <w:r w:rsidR="00D20B31">
        <w:rPr>
          <w:b/>
          <w:bCs/>
          <w:i/>
          <w:iCs/>
        </w:rPr>
        <w:t>S</w:t>
      </w:r>
      <w:r w:rsidRPr="00546592">
        <w:rPr>
          <w:b/>
          <w:bCs/>
          <w:i/>
          <w:iCs/>
        </w:rPr>
        <w:t xml:space="preserve">ection </w:t>
      </w:r>
      <w:r w:rsidR="00F96E15">
        <w:rPr>
          <w:b/>
          <w:bCs/>
          <w:i/>
          <w:iCs/>
        </w:rPr>
        <w:t>3</w:t>
      </w:r>
      <w:r w:rsidR="005D7E91">
        <w:rPr>
          <w:b/>
          <w:bCs/>
          <w:i/>
          <w:iCs/>
        </w:rPr>
        <w:t xml:space="preserve"> of the </w:t>
      </w:r>
      <w:r w:rsidR="0085520F">
        <w:rPr>
          <w:b/>
          <w:bCs/>
          <w:i/>
          <w:iCs/>
        </w:rPr>
        <w:t xml:space="preserve">Assessment </w:t>
      </w:r>
      <w:r w:rsidR="004F5B1B">
        <w:rPr>
          <w:b/>
          <w:bCs/>
          <w:i/>
          <w:iCs/>
        </w:rPr>
        <w:t>Bill</w:t>
      </w:r>
      <w:r w:rsidRPr="00546592">
        <w:rPr>
          <w:b/>
          <w:bCs/>
          <w:i/>
          <w:iCs/>
        </w:rPr>
        <w:t xml:space="preserve">] </w:t>
      </w:r>
    </w:p>
    <w:p w14:paraId="0D949BF4" w14:textId="77777777" w:rsidR="00546592" w:rsidRPr="00546592" w:rsidRDefault="00546592" w:rsidP="00546592">
      <w:pPr>
        <w:keepNext/>
        <w:keepLines/>
        <w:numPr>
          <w:ilvl w:val="3"/>
          <w:numId w:val="2"/>
        </w:numPr>
        <w:spacing w:before="280" w:after="240"/>
        <w:outlineLvl w:val="3"/>
        <w:rPr>
          <w:rFonts w:eastAsiaTheme="majorEastAsia" w:cstheme="majorBidi"/>
        </w:rPr>
      </w:pPr>
      <w:r w:rsidRPr="00546592">
        <w:rPr>
          <w:rFonts w:ascii="Helvetica" w:eastAsiaTheme="majorEastAsia" w:hAnsi="Helvetica" w:cstheme="majorBidi"/>
          <w:iCs/>
          <w:sz w:val="28"/>
        </w:rPr>
        <w:t>Rule-making powers</w:t>
      </w:r>
    </w:p>
    <w:p w14:paraId="192F9584" w14:textId="3C45DBF2" w:rsidR="00546592" w:rsidRPr="0080282A" w:rsidRDefault="00546592" w:rsidP="00546592">
      <w:pPr>
        <w:numPr>
          <w:ilvl w:val="1"/>
          <w:numId w:val="3"/>
        </w:numPr>
      </w:pPr>
      <w:r w:rsidRPr="009462A4">
        <w:t>The Minister may</w:t>
      </w:r>
      <w:r w:rsidR="00964531" w:rsidRPr="009462A4">
        <w:t>, by legislative instrument,</w:t>
      </w:r>
      <w:r w:rsidRPr="009462A4">
        <w:t xml:space="preserve"> make Rules related to </w:t>
      </w:r>
      <w:r w:rsidR="00B3356B">
        <w:t>c</w:t>
      </w:r>
      <w:r w:rsidRPr="009462A4">
        <w:t xml:space="preserve">omputation of </w:t>
      </w:r>
      <w:r w:rsidR="006E3A35">
        <w:t>t</w:t>
      </w:r>
      <w:r w:rsidRPr="009462A4">
        <w:t>op-up tax.</w:t>
      </w:r>
      <w:r w:rsidR="00776AF5">
        <w:br/>
      </w:r>
      <w:r w:rsidR="00776AF5" w:rsidRPr="009462A4">
        <w:rPr>
          <w:rStyle w:val="References"/>
        </w:rPr>
        <w:t>[S</w:t>
      </w:r>
      <w:r w:rsidR="00585450">
        <w:rPr>
          <w:rStyle w:val="References"/>
        </w:rPr>
        <w:t xml:space="preserve">ection </w:t>
      </w:r>
      <w:r w:rsidR="00AB0786">
        <w:rPr>
          <w:rStyle w:val="References"/>
        </w:rPr>
        <w:t>20</w:t>
      </w:r>
      <w:r w:rsidR="005F7AD9">
        <w:rPr>
          <w:rStyle w:val="References"/>
        </w:rPr>
        <w:t xml:space="preserve"> of the </w:t>
      </w:r>
      <w:r w:rsidR="0085520F">
        <w:rPr>
          <w:rStyle w:val="References"/>
        </w:rPr>
        <w:t xml:space="preserve">Assessment </w:t>
      </w:r>
      <w:r w:rsidR="004F5B1B">
        <w:rPr>
          <w:rStyle w:val="References"/>
        </w:rPr>
        <w:t>Bill</w:t>
      </w:r>
      <w:r w:rsidR="00776AF5" w:rsidRPr="009462A4">
        <w:rPr>
          <w:rStyle w:val="References"/>
        </w:rPr>
        <w:t xml:space="preserve">] </w:t>
      </w:r>
      <w:r w:rsidRPr="009462A4">
        <w:t xml:space="preserve"> </w:t>
      </w:r>
    </w:p>
    <w:p w14:paraId="141F7893" w14:textId="7D0E7C88" w:rsidR="00307DF0" w:rsidRPr="00307DF0" w:rsidRDefault="00307DF0" w:rsidP="00307DF0">
      <w:pPr>
        <w:numPr>
          <w:ilvl w:val="1"/>
          <w:numId w:val="3"/>
        </w:numPr>
      </w:pPr>
      <w:r w:rsidRPr="00307DF0">
        <w:t>This Rule making power has been included to ensure that any OECD Administrative Guidance can be incorporated efficiently and in a timely manner</w:t>
      </w:r>
      <w:r w:rsidR="00B3356B">
        <w:t>, while still retaining an appropriate level of parliamentary oversight</w:t>
      </w:r>
      <w:r w:rsidRPr="00307DF0">
        <w:t xml:space="preserve">. It will also allow the swift correction of any unforeseen consequences that arise from the implementation of this </w:t>
      </w:r>
      <w:r w:rsidR="00E35479">
        <w:t>Bill</w:t>
      </w:r>
      <w:r w:rsidRPr="00307DF0">
        <w:t>.</w:t>
      </w:r>
    </w:p>
    <w:p w14:paraId="166157D4" w14:textId="5C2EB3AE" w:rsidR="00307DF0" w:rsidRPr="00307DF0" w:rsidRDefault="00307DF0" w:rsidP="00307DF0">
      <w:pPr>
        <w:numPr>
          <w:ilvl w:val="1"/>
          <w:numId w:val="3"/>
        </w:numPr>
      </w:pPr>
      <w:r w:rsidRPr="00307DF0">
        <w:t xml:space="preserve">The Rules may, via reference, incorporate extrinsic materials in force at the time </w:t>
      </w:r>
      <w:r w:rsidR="00B3356B">
        <w:t>T</w:t>
      </w:r>
      <w:r w:rsidRPr="00307DF0">
        <w:t xml:space="preserve">he Rules are made or at another fixed point in time. </w:t>
      </w:r>
    </w:p>
    <w:p w14:paraId="2F730AE0" w14:textId="1F254224" w:rsidR="00307DF0" w:rsidRPr="00307DF0" w:rsidRDefault="00307DF0" w:rsidP="00307DF0">
      <w:pPr>
        <w:numPr>
          <w:ilvl w:val="1"/>
          <w:numId w:val="3"/>
        </w:numPr>
      </w:pPr>
      <w:r w:rsidRPr="00307DF0">
        <w:t xml:space="preserve">Given the importance and evolving nature of the OECD Administrative Guidance, it is important that the rule-making power exist to implement Guidance </w:t>
      </w:r>
      <w:r w:rsidR="002445E2">
        <w:t xml:space="preserve">into legislation </w:t>
      </w:r>
      <w:r w:rsidRPr="00307DF0">
        <w:t xml:space="preserve">quickly and flexibly. </w:t>
      </w:r>
    </w:p>
    <w:p w14:paraId="470EA977" w14:textId="1B3F8093" w:rsidR="0077680D" w:rsidRDefault="00307DF0" w:rsidP="00307DF0">
      <w:pPr>
        <w:numPr>
          <w:ilvl w:val="1"/>
          <w:numId w:val="3"/>
        </w:numPr>
      </w:pPr>
      <w:r w:rsidRPr="00307DF0">
        <w:t xml:space="preserve">If a legislative instrument or notifiable instrument, or a provision of such an instrument, commences before the instrument is registered, the instrument </w:t>
      </w:r>
      <w:r w:rsidRPr="00307DF0">
        <w:lastRenderedPageBreak/>
        <w:t xml:space="preserve">implementing </w:t>
      </w:r>
      <w:r w:rsidR="004C5168">
        <w:t xml:space="preserve">The </w:t>
      </w:r>
      <w:r w:rsidRPr="00307DF0">
        <w:t>Rules will apply from the time of commencement, rather than the time of registration, to ensure swift implementation. The Rules will prevail over the provisions of Part</w:t>
      </w:r>
      <w:r w:rsidR="004B3C72">
        <w:t>s</w:t>
      </w:r>
      <w:r w:rsidRPr="00307DF0">
        <w:t xml:space="preserve"> 3 and 5 of the </w:t>
      </w:r>
      <w:r w:rsidR="0085520F">
        <w:t xml:space="preserve">Assessment </w:t>
      </w:r>
      <w:r w:rsidR="004F5B1B">
        <w:t>Bill</w:t>
      </w:r>
      <w:r w:rsidRPr="00307DF0">
        <w:t xml:space="preserve"> to the extent of any inconsistency.</w:t>
      </w:r>
      <w:r w:rsidRPr="00546592">
        <w:rPr>
          <w:b/>
          <w:bCs/>
          <w:i/>
          <w:iCs/>
        </w:rPr>
        <w:t xml:space="preserve"> </w:t>
      </w:r>
    </w:p>
    <w:p w14:paraId="6B3767FF" w14:textId="1F2177A7" w:rsidR="00546592" w:rsidRPr="00546592" w:rsidRDefault="00825A21">
      <w:pPr>
        <w:numPr>
          <w:ilvl w:val="1"/>
          <w:numId w:val="3"/>
        </w:numPr>
      </w:pPr>
      <w:r w:rsidRPr="009462A4">
        <w:t xml:space="preserve">There are appropriate legislative safeguards </w:t>
      </w:r>
      <w:r w:rsidR="00CC1248" w:rsidRPr="009462A4">
        <w:t xml:space="preserve">put in place to ensure </w:t>
      </w:r>
      <w:r w:rsidR="004F5B1B">
        <w:t>t</w:t>
      </w:r>
      <w:r w:rsidR="0067053E">
        <w:t>he Rules are</w:t>
      </w:r>
      <w:r w:rsidR="00EB6833" w:rsidRPr="009462A4">
        <w:t xml:space="preserve"> used appropriately. </w:t>
      </w:r>
      <w:r w:rsidR="009038C5">
        <w:t>Apart from the limits set out in s</w:t>
      </w:r>
      <w:r w:rsidR="00E376E7">
        <w:t>ubs</w:t>
      </w:r>
      <w:r w:rsidR="009038C5">
        <w:t xml:space="preserve">ection 20(2) of the </w:t>
      </w:r>
      <w:r w:rsidR="0085520F">
        <w:t xml:space="preserve">Assessment </w:t>
      </w:r>
      <w:r w:rsidR="004F5B1B">
        <w:t>Bill</w:t>
      </w:r>
      <w:r w:rsidR="009038C5">
        <w:t>, t</w:t>
      </w:r>
      <w:r w:rsidR="00A3364B">
        <w:t xml:space="preserve">he Minister’s rule-making power has also been effectively limited to the purpose of </w:t>
      </w:r>
      <w:r w:rsidR="00942291">
        <w:t>ensuring</w:t>
      </w:r>
      <w:r w:rsidR="007B14C0">
        <w:t xml:space="preserve"> consistency </w:t>
      </w:r>
      <w:r w:rsidR="000675EB">
        <w:t>between</w:t>
      </w:r>
      <w:r w:rsidR="007B14C0">
        <w:t xml:space="preserve"> Parts 3 and 5 of th</w:t>
      </w:r>
      <w:r w:rsidR="00B3356B">
        <w:t xml:space="preserve">e Assessment </w:t>
      </w:r>
      <w:r w:rsidR="004F5B1B">
        <w:t>Bill</w:t>
      </w:r>
      <w:r w:rsidR="007B14C0">
        <w:t xml:space="preserve"> </w:t>
      </w:r>
      <w:r w:rsidR="000675EB">
        <w:t>and</w:t>
      </w:r>
      <w:r w:rsidR="007B14C0">
        <w:t xml:space="preserve"> the documents mentioned in subsection </w:t>
      </w:r>
      <w:r w:rsidR="00D73373">
        <w:t>3</w:t>
      </w:r>
      <w:r w:rsidR="007B14C0">
        <w:t>(1)</w:t>
      </w:r>
      <w:r w:rsidR="005965D0">
        <w:t xml:space="preserve"> of the </w:t>
      </w:r>
      <w:r w:rsidR="0085520F">
        <w:t xml:space="preserve">Assessment </w:t>
      </w:r>
      <w:r w:rsidR="004F5B1B">
        <w:t>Bill</w:t>
      </w:r>
      <w:r w:rsidR="00942291">
        <w:t>.</w:t>
      </w:r>
      <w:r w:rsidR="007B14C0">
        <w:t xml:space="preserve"> </w:t>
      </w:r>
      <w:r w:rsidR="00E10566">
        <w:t>The</w:t>
      </w:r>
      <w:r w:rsidR="008B4E8C">
        <w:t xml:space="preserve"> documents mentioned in subsection </w:t>
      </w:r>
      <w:r w:rsidR="00D73373">
        <w:t>3</w:t>
      </w:r>
      <w:r w:rsidR="008B4E8C">
        <w:t xml:space="preserve">(1) </w:t>
      </w:r>
      <w:r w:rsidR="005965D0">
        <w:t xml:space="preserve">of the </w:t>
      </w:r>
      <w:r w:rsidR="0085520F">
        <w:t xml:space="preserve">Assessment </w:t>
      </w:r>
      <w:r w:rsidR="004F5B1B">
        <w:t>Bill</w:t>
      </w:r>
      <w:r w:rsidR="008B4E8C">
        <w:t xml:space="preserve"> </w:t>
      </w:r>
      <w:r w:rsidR="00FA7C57">
        <w:t xml:space="preserve">are documents with which the </w:t>
      </w:r>
      <w:r w:rsidR="0085520F">
        <w:t xml:space="preserve">Assessment </w:t>
      </w:r>
      <w:r w:rsidR="004F5B1B">
        <w:t>Bill</w:t>
      </w:r>
      <w:r w:rsidR="00C4781A">
        <w:t xml:space="preserve"> </w:t>
      </w:r>
      <w:r w:rsidR="00FA7C57">
        <w:t>must have consistent interpretation</w:t>
      </w:r>
      <w:r w:rsidR="003F0D1F">
        <w:t xml:space="preserve"> </w:t>
      </w:r>
      <w:r w:rsidR="009E6FF3">
        <w:t>in order</w:t>
      </w:r>
      <w:r w:rsidR="003F0D1F">
        <w:t xml:space="preserve"> </w:t>
      </w:r>
      <w:r w:rsidR="00B3356B">
        <w:t>to operate</w:t>
      </w:r>
      <w:r w:rsidR="003F0D1F">
        <w:t xml:space="preserve"> as intended</w:t>
      </w:r>
      <w:r w:rsidR="00350D4D">
        <w:t>. The timeframe for rule</w:t>
      </w:r>
      <w:r w:rsidR="00B3356B">
        <w:t>-</w:t>
      </w:r>
      <w:r w:rsidR="00350D4D">
        <w:t xml:space="preserve">making has also been </w:t>
      </w:r>
      <w:r w:rsidR="001600E4">
        <w:t>restricted such that</w:t>
      </w:r>
      <w:r w:rsidR="00350D4D">
        <w:t xml:space="preserve"> </w:t>
      </w:r>
      <w:r w:rsidR="00B3356B">
        <w:t xml:space="preserve">The </w:t>
      </w:r>
      <w:r w:rsidR="003E0E16">
        <w:t>Rules</w:t>
      </w:r>
      <w:r w:rsidR="006E2471">
        <w:t xml:space="preserve"> </w:t>
      </w:r>
      <w:r w:rsidR="009B303B">
        <w:t xml:space="preserve">must </w:t>
      </w:r>
      <w:r w:rsidR="004F4333">
        <w:t>not be made after 31 December 2026</w:t>
      </w:r>
      <w:r w:rsidR="00350D4D">
        <w:t>.</w:t>
      </w:r>
      <w:r w:rsidR="00F33100">
        <w:rPr>
          <w:b/>
          <w:bCs/>
          <w:i/>
          <w:iCs/>
        </w:rPr>
        <w:br/>
        <w:t xml:space="preserve">[Section </w:t>
      </w:r>
      <w:r w:rsidR="00D54F02" w:rsidRPr="00D54F02">
        <w:rPr>
          <w:b/>
          <w:bCs/>
          <w:i/>
          <w:iCs/>
        </w:rPr>
        <w:t>24</w:t>
      </w:r>
      <w:r w:rsidR="00F33100">
        <w:rPr>
          <w:b/>
          <w:bCs/>
          <w:i/>
          <w:iCs/>
        </w:rPr>
        <w:t xml:space="preserve"> of the </w:t>
      </w:r>
      <w:r w:rsidR="0085520F" w:rsidRPr="00D54F02">
        <w:rPr>
          <w:b/>
          <w:bCs/>
          <w:i/>
          <w:iCs/>
        </w:rPr>
        <w:t xml:space="preserve">Assessment </w:t>
      </w:r>
      <w:r w:rsidR="004F5B1B">
        <w:rPr>
          <w:b/>
          <w:bCs/>
          <w:i/>
          <w:iCs/>
        </w:rPr>
        <w:t>Bill</w:t>
      </w:r>
      <w:r w:rsidR="00F33100">
        <w:rPr>
          <w:b/>
          <w:bCs/>
          <w:i/>
          <w:iCs/>
        </w:rPr>
        <w:t xml:space="preserve">] </w:t>
      </w:r>
    </w:p>
    <w:p w14:paraId="5BEA4CF5" w14:textId="1AB840CB" w:rsidR="00546592" w:rsidRPr="00546592" w:rsidRDefault="00546592" w:rsidP="00546592">
      <w:pPr>
        <w:keepNext/>
        <w:keepLines/>
        <w:spacing w:before="240" w:after="360"/>
        <w:outlineLvl w:val="2"/>
        <w:rPr>
          <w:rFonts w:ascii="Helvetica" w:eastAsiaTheme="majorEastAsia" w:hAnsi="Helvetica" w:cstheme="majorBidi"/>
          <w:iCs/>
          <w:sz w:val="28"/>
          <w:szCs w:val="24"/>
        </w:rPr>
      </w:pPr>
      <w:bookmarkStart w:id="55" w:name="_Toc158739661"/>
      <w:r w:rsidRPr="00546592">
        <w:rPr>
          <w:rFonts w:ascii="Helvitica" w:eastAsiaTheme="majorEastAsia" w:hAnsi="Helvitica" w:cstheme="majorBidi"/>
          <w:sz w:val="32"/>
          <w:szCs w:val="24"/>
        </w:rPr>
        <w:t>Location of an Entity</w:t>
      </w:r>
      <w:bookmarkEnd w:id="55"/>
    </w:p>
    <w:p w14:paraId="45ABD970" w14:textId="78E61214" w:rsidR="00546592" w:rsidRPr="00546592" w:rsidRDefault="00546592" w:rsidP="00546592">
      <w:pPr>
        <w:numPr>
          <w:ilvl w:val="1"/>
          <w:numId w:val="47"/>
        </w:numPr>
      </w:pPr>
      <w:r w:rsidRPr="00546592">
        <w:t xml:space="preserve">Each Constituent Entity is treated as </w:t>
      </w:r>
      <w:r w:rsidR="000B5FBA">
        <w:t>being located in</w:t>
      </w:r>
      <w:r w:rsidRPr="00546592">
        <w:t xml:space="preserve"> a </w:t>
      </w:r>
      <w:r w:rsidR="00A87152">
        <w:t>particular jurisdiction.</w:t>
      </w:r>
      <w:r w:rsidRPr="00546592">
        <w:t xml:space="preserve"> The principle underlying the provisions that determine the location of an Entity is to follow the treatment under local law. However, certain Constituent Entities may not be liable for tax anywhere and may be treated as “Stateless Entities”.</w:t>
      </w:r>
      <w:r w:rsidR="00BC2601">
        <w:t xml:space="preserve"> </w:t>
      </w:r>
      <w:r w:rsidR="000E1682">
        <w:t xml:space="preserve">The provisions apply for opaque Entities, Flow-through Entities and Permanent Establishments. </w:t>
      </w:r>
      <w:r w:rsidR="00BC2601">
        <w:t>Where an Entity</w:t>
      </w:r>
      <w:r w:rsidR="000E1682">
        <w:t xml:space="preserve"> changes its location during the Fiscal Year, it is taken to be located in the jurisdiction in which it was located at the </w:t>
      </w:r>
      <w:r w:rsidR="00C9588E">
        <w:t>start of that Fiscal Year.</w:t>
      </w:r>
      <w:r w:rsidR="00C9588E">
        <w:br/>
      </w:r>
      <w:r w:rsidR="00C9588E" w:rsidRPr="00C9588E">
        <w:rPr>
          <w:rStyle w:val="References"/>
        </w:rPr>
        <w:t>[S</w:t>
      </w:r>
      <w:r w:rsidR="00C9588E">
        <w:rPr>
          <w:rStyle w:val="References"/>
        </w:rPr>
        <w:t>ections 32</w:t>
      </w:r>
      <w:r w:rsidR="005E01AC">
        <w:rPr>
          <w:rStyle w:val="References"/>
        </w:rPr>
        <w:t xml:space="preserve"> to</w:t>
      </w:r>
      <w:r w:rsidR="00C9588E">
        <w:rPr>
          <w:rStyle w:val="References"/>
        </w:rPr>
        <w:t xml:space="preserve"> 36 of the Assessment </w:t>
      </w:r>
      <w:r w:rsidR="004F5B1B">
        <w:rPr>
          <w:rStyle w:val="References"/>
        </w:rPr>
        <w:t>Bill</w:t>
      </w:r>
      <w:r w:rsidR="00C9588E" w:rsidRPr="00C9588E">
        <w:rPr>
          <w:rStyle w:val="References"/>
        </w:rPr>
        <w:t xml:space="preserve">] </w:t>
      </w:r>
    </w:p>
    <w:p w14:paraId="23F5357B" w14:textId="29D9B92E" w:rsidR="00546592" w:rsidRPr="00546592" w:rsidRDefault="00546592" w:rsidP="00546592">
      <w:pPr>
        <w:numPr>
          <w:ilvl w:val="1"/>
          <w:numId w:val="47"/>
        </w:numPr>
      </w:pPr>
      <w:r w:rsidRPr="00546592">
        <w:t>Following this principle, an Entity that is not a Flow-through Entity will be treated as being located in Australia if it is a</w:t>
      </w:r>
      <w:r w:rsidR="0034420A">
        <w:t xml:space="preserve">n </w:t>
      </w:r>
      <w:r w:rsidR="00F350E6">
        <w:t>‘</w:t>
      </w:r>
      <w:r w:rsidRPr="00546592">
        <w:t>Australia</w:t>
      </w:r>
      <w:r w:rsidR="0034420A">
        <w:t xml:space="preserve">n </w:t>
      </w:r>
      <w:r w:rsidR="00F350E6">
        <w:t>entity’</w:t>
      </w:r>
      <w:r w:rsidRPr="00546592">
        <w:t xml:space="preserve"> within the meaning of the ITAA</w:t>
      </w:r>
      <w:r w:rsidR="004E2175">
        <w:t xml:space="preserve"> </w:t>
      </w:r>
      <w:r w:rsidRPr="00546592">
        <w:t xml:space="preserve">1997. </w:t>
      </w:r>
      <w:r w:rsidR="00FB4914">
        <w:t xml:space="preserve">This </w:t>
      </w:r>
      <w:r w:rsidR="00CC1F44">
        <w:t xml:space="preserve">definition takes the meaning of that term </w:t>
      </w:r>
      <w:r w:rsidR="00F02100">
        <w:t xml:space="preserve">as </w:t>
      </w:r>
      <w:r w:rsidR="00CC1F44">
        <w:t xml:space="preserve">provided in </w:t>
      </w:r>
      <w:r w:rsidR="00F02100">
        <w:t>section 336</w:t>
      </w:r>
      <w:r w:rsidR="00CC1F44">
        <w:t xml:space="preserve"> of the ITAA 1936</w:t>
      </w:r>
      <w:r w:rsidR="004D123B">
        <w:t>, which covers an Australian partnership, an Australian trust and a Part X Australian resident.</w:t>
      </w:r>
      <w:r w:rsidR="00073FB9">
        <w:t xml:space="preserve"> </w:t>
      </w:r>
      <w:r w:rsidR="00F7277B">
        <w:t>The</w:t>
      </w:r>
      <w:r w:rsidR="001E31D7">
        <w:t xml:space="preserve"> effect of this is that an</w:t>
      </w:r>
      <w:r w:rsidR="00A34BB7">
        <w:t xml:space="preserve"> Entity that is not a Flow-through Entity</w:t>
      </w:r>
      <w:r w:rsidR="00853E60">
        <w:t xml:space="preserve"> is an</w:t>
      </w:r>
      <w:r w:rsidR="001E31D7">
        <w:t xml:space="preserve"> Australian entity</w:t>
      </w:r>
      <w:r w:rsidR="00853E60">
        <w:t xml:space="preserve"> and is therefore located in Australia</w:t>
      </w:r>
      <w:r w:rsidR="0092214F">
        <w:t xml:space="preserve"> if it </w:t>
      </w:r>
      <w:r w:rsidR="00DF7670">
        <w:t xml:space="preserve">is an Australian resident </w:t>
      </w:r>
      <w:r w:rsidR="00E61860">
        <w:t>within the meaning of section 6 of the ITAA 1936</w:t>
      </w:r>
      <w:r w:rsidR="0092214F">
        <w:t xml:space="preserve"> and </w:t>
      </w:r>
      <w:r w:rsidR="004C3489">
        <w:t xml:space="preserve">it is not deemed to be a resident of a foreign jurisdiction </w:t>
      </w:r>
      <w:r w:rsidR="00A1636D">
        <w:t>by any applicable tie-breaker rules in an Australian tax treaty.</w:t>
      </w:r>
      <w:r w:rsidR="00482B5B">
        <w:t xml:space="preserve"> </w:t>
      </w:r>
      <w:r w:rsidR="001E6F81">
        <w:t xml:space="preserve"> </w:t>
      </w:r>
      <w:r w:rsidR="00F97C77">
        <w:br/>
      </w:r>
      <w:r w:rsidR="00F97C77" w:rsidRPr="00F97C77">
        <w:rPr>
          <w:rStyle w:val="References"/>
        </w:rPr>
        <w:t>[</w:t>
      </w:r>
      <w:r w:rsidR="00D449F7">
        <w:rPr>
          <w:rStyle w:val="References"/>
        </w:rPr>
        <w:t>Subsection 32(1) and p</w:t>
      </w:r>
      <w:r w:rsidR="007F0BAC">
        <w:rPr>
          <w:rStyle w:val="References"/>
        </w:rPr>
        <w:t>aragraph</w:t>
      </w:r>
      <w:r w:rsidR="00F97C77">
        <w:rPr>
          <w:rStyle w:val="References"/>
        </w:rPr>
        <w:t xml:space="preserve"> 32</w:t>
      </w:r>
      <w:r w:rsidR="007F0BAC">
        <w:rPr>
          <w:rStyle w:val="References"/>
        </w:rPr>
        <w:t>(</w:t>
      </w:r>
      <w:r w:rsidR="00D449F7">
        <w:rPr>
          <w:rStyle w:val="References"/>
        </w:rPr>
        <w:t>2)(a)</w:t>
      </w:r>
      <w:r w:rsidR="00F97C77">
        <w:rPr>
          <w:rStyle w:val="References"/>
        </w:rPr>
        <w:t xml:space="preserve"> of the Assessment </w:t>
      </w:r>
      <w:r w:rsidR="004F5B1B">
        <w:rPr>
          <w:rStyle w:val="References"/>
        </w:rPr>
        <w:t>Bill</w:t>
      </w:r>
      <w:r w:rsidR="00F97C77" w:rsidRPr="00F97C77">
        <w:rPr>
          <w:rStyle w:val="References"/>
        </w:rPr>
        <w:t xml:space="preserve">] </w:t>
      </w:r>
      <w:r w:rsidRPr="00546592">
        <w:t xml:space="preserve"> </w:t>
      </w:r>
    </w:p>
    <w:p w14:paraId="650006F3" w14:textId="32747FE2" w:rsidR="00546592" w:rsidRPr="00546592" w:rsidRDefault="00546592" w:rsidP="00546592">
      <w:pPr>
        <w:numPr>
          <w:ilvl w:val="1"/>
          <w:numId w:val="47"/>
        </w:numPr>
        <w:rPr>
          <w:bCs/>
          <w:iCs/>
        </w:rPr>
      </w:pPr>
      <w:r w:rsidRPr="00546592">
        <w:t>If an Entity that is not a Flow-through Entity is resident in a jurisdiction outside of Australia based on its place of management, place of creation, or similar criterion, it will be treated as being located in that jurisdiction.</w:t>
      </w:r>
      <w:r w:rsidRPr="00546592">
        <w:br/>
      </w:r>
      <w:r w:rsidRPr="00546592">
        <w:rPr>
          <w:b/>
          <w:bCs/>
          <w:i/>
          <w:iCs/>
        </w:rPr>
        <w:t>[</w:t>
      </w:r>
      <w:r w:rsidR="00D449F7">
        <w:rPr>
          <w:rStyle w:val="References"/>
        </w:rPr>
        <w:t xml:space="preserve">Subsection 32(1) and paragraph 32(2)(b) </w:t>
      </w:r>
      <w:r w:rsidRPr="00546592">
        <w:rPr>
          <w:b/>
          <w:bCs/>
          <w:i/>
          <w:iCs/>
        </w:rPr>
        <w:t xml:space="preserve">of </w:t>
      </w:r>
      <w:r w:rsidR="0085520F">
        <w:rPr>
          <w:b/>
          <w:bCs/>
          <w:i/>
          <w:iCs/>
        </w:rPr>
        <w:t xml:space="preserve">the Assessment </w:t>
      </w:r>
      <w:r w:rsidR="004F5B1B">
        <w:rPr>
          <w:b/>
          <w:bCs/>
          <w:i/>
          <w:iCs/>
        </w:rPr>
        <w:t>Bill</w:t>
      </w:r>
      <w:r w:rsidRPr="00546592">
        <w:rPr>
          <w:b/>
          <w:bCs/>
          <w:i/>
          <w:iCs/>
        </w:rPr>
        <w:t xml:space="preserve">] </w:t>
      </w:r>
    </w:p>
    <w:p w14:paraId="43AE42FB" w14:textId="7BFF5AD1" w:rsidR="008B56F3" w:rsidRPr="008B56F3" w:rsidRDefault="008B56F3" w:rsidP="009C1D73">
      <w:pPr>
        <w:numPr>
          <w:ilvl w:val="1"/>
          <w:numId w:val="47"/>
        </w:numPr>
        <w:rPr>
          <w:bCs/>
          <w:iCs/>
        </w:rPr>
      </w:pPr>
      <w:r>
        <w:rPr>
          <w:bCs/>
          <w:iCs/>
        </w:rPr>
        <w:lastRenderedPageBreak/>
        <w:t xml:space="preserve">If </w:t>
      </w:r>
      <w:r w:rsidR="0076580D">
        <w:rPr>
          <w:bCs/>
          <w:iCs/>
        </w:rPr>
        <w:t>such</w:t>
      </w:r>
      <w:r>
        <w:rPr>
          <w:bCs/>
          <w:iCs/>
        </w:rPr>
        <w:t xml:space="preserve"> Entity</w:t>
      </w:r>
      <w:r w:rsidR="00493485">
        <w:rPr>
          <w:bCs/>
          <w:iCs/>
        </w:rPr>
        <w:t>, falls into neither of these</w:t>
      </w:r>
      <w:r w:rsidR="0076580D">
        <w:rPr>
          <w:bCs/>
          <w:iCs/>
        </w:rPr>
        <w:t xml:space="preserve"> above</w:t>
      </w:r>
      <w:r w:rsidR="00493485">
        <w:rPr>
          <w:bCs/>
          <w:iCs/>
        </w:rPr>
        <w:t xml:space="preserve"> categories,</w:t>
      </w:r>
      <w:r w:rsidR="0076580D">
        <w:rPr>
          <w:bCs/>
          <w:iCs/>
        </w:rPr>
        <w:t xml:space="preserve"> it </w:t>
      </w:r>
      <w:r w:rsidR="00D21488">
        <w:rPr>
          <w:bCs/>
          <w:iCs/>
        </w:rPr>
        <w:t>is</w:t>
      </w:r>
      <w:r w:rsidR="0076580D">
        <w:rPr>
          <w:bCs/>
          <w:iCs/>
        </w:rPr>
        <w:t xml:space="preserve"> located in the jurisdiction where it is created.</w:t>
      </w:r>
      <w:r w:rsidR="0076580D">
        <w:rPr>
          <w:bCs/>
          <w:iCs/>
        </w:rPr>
        <w:br/>
      </w:r>
      <w:r w:rsidR="0076580D" w:rsidRPr="0076580D">
        <w:rPr>
          <w:rStyle w:val="References"/>
        </w:rPr>
        <w:t>[</w:t>
      </w:r>
      <w:r w:rsidR="0076580D">
        <w:rPr>
          <w:rStyle w:val="References"/>
        </w:rPr>
        <w:t xml:space="preserve">Subsection 32(1) and paragraph 32(2)(c) </w:t>
      </w:r>
      <w:r w:rsidR="0076580D" w:rsidRPr="00546592">
        <w:rPr>
          <w:b/>
          <w:bCs/>
          <w:i/>
          <w:iCs/>
        </w:rPr>
        <w:t xml:space="preserve">of </w:t>
      </w:r>
      <w:r w:rsidR="0076580D">
        <w:rPr>
          <w:b/>
          <w:bCs/>
          <w:i/>
          <w:iCs/>
        </w:rPr>
        <w:t xml:space="preserve">the Assessment </w:t>
      </w:r>
      <w:r w:rsidR="004F5B1B">
        <w:rPr>
          <w:b/>
          <w:bCs/>
          <w:i/>
          <w:iCs/>
        </w:rPr>
        <w:t>Bill</w:t>
      </w:r>
      <w:r w:rsidR="0076580D" w:rsidRPr="0076580D">
        <w:rPr>
          <w:rStyle w:val="References"/>
        </w:rPr>
        <w:t xml:space="preserve">] </w:t>
      </w:r>
      <w:r w:rsidR="00493485">
        <w:rPr>
          <w:bCs/>
          <w:iCs/>
        </w:rPr>
        <w:t xml:space="preserve"> </w:t>
      </w:r>
    </w:p>
    <w:p w14:paraId="59D535D0" w14:textId="18050837" w:rsidR="00546592" w:rsidRPr="00546592" w:rsidRDefault="00546592" w:rsidP="00546592">
      <w:pPr>
        <w:numPr>
          <w:ilvl w:val="1"/>
          <w:numId w:val="47"/>
        </w:numPr>
        <w:rPr>
          <w:bCs/>
          <w:iCs/>
        </w:rPr>
      </w:pPr>
      <w:r w:rsidRPr="00B711C9">
        <w:t xml:space="preserve">An Entity that is a Flow-through Entity is located in the jurisdiction where it was created if the Entity is either a </w:t>
      </w:r>
      <w:r w:rsidR="00F33100">
        <w:t>UPE</w:t>
      </w:r>
      <w:r w:rsidRPr="00B711C9">
        <w:t>, or it is required to apply a</w:t>
      </w:r>
      <w:r w:rsidR="0087548D">
        <w:t xml:space="preserve"> Qualified</w:t>
      </w:r>
      <w:r w:rsidRPr="00B711C9">
        <w:t xml:space="preserve"> IIR. </w:t>
      </w:r>
      <w:r w:rsidR="003528A0" w:rsidRPr="003528A0">
        <w:t xml:space="preserve">This </w:t>
      </w:r>
      <w:r w:rsidR="0063272C">
        <w:t xml:space="preserve">allows </w:t>
      </w:r>
      <w:r w:rsidR="006B6ED3">
        <w:t xml:space="preserve">jurisdictions to impose an IIR </w:t>
      </w:r>
      <w:r w:rsidR="00C20EF6">
        <w:t>on Flow-through Entities that are created in that jurisdiction</w:t>
      </w:r>
      <w:r w:rsidR="003528A0">
        <w:t>.</w:t>
      </w:r>
      <w:r w:rsidRPr="00546592">
        <w:rPr>
          <w:b/>
          <w:bCs/>
          <w:i/>
          <w:iCs/>
        </w:rPr>
        <w:br/>
        <w:t xml:space="preserve">[Section </w:t>
      </w:r>
      <w:r w:rsidR="00504978">
        <w:rPr>
          <w:b/>
          <w:bCs/>
          <w:i/>
          <w:iCs/>
        </w:rPr>
        <w:t>3</w:t>
      </w:r>
      <w:r w:rsidR="002A0C93">
        <w:rPr>
          <w:b/>
          <w:bCs/>
          <w:i/>
          <w:iCs/>
        </w:rPr>
        <w:t>3</w:t>
      </w:r>
      <w:r w:rsidRPr="00546592">
        <w:rPr>
          <w:b/>
          <w:bCs/>
          <w:i/>
          <w:iCs/>
        </w:rPr>
        <w:t xml:space="preserve"> of </w:t>
      </w:r>
      <w:r w:rsidR="0085520F">
        <w:rPr>
          <w:b/>
          <w:bCs/>
          <w:i/>
          <w:iCs/>
        </w:rPr>
        <w:t xml:space="preserve">the Assessment </w:t>
      </w:r>
      <w:r w:rsidR="004F5B1B">
        <w:rPr>
          <w:b/>
          <w:bCs/>
          <w:i/>
          <w:iCs/>
        </w:rPr>
        <w:t>Bill</w:t>
      </w:r>
      <w:r w:rsidRPr="00546592">
        <w:rPr>
          <w:b/>
          <w:bCs/>
          <w:i/>
          <w:iCs/>
        </w:rPr>
        <w:t xml:space="preserve">] </w:t>
      </w:r>
    </w:p>
    <w:p w14:paraId="004245AD" w14:textId="1B8C18E0" w:rsidR="00A86A24" w:rsidRPr="00546592" w:rsidRDefault="00A86A24" w:rsidP="00A86A24">
      <w:pPr>
        <w:pStyle w:val="Normalparatextwithnumbers"/>
      </w:pPr>
      <w:r>
        <w:t>Where</w:t>
      </w:r>
      <w:r w:rsidR="00CF2649">
        <w:t xml:space="preserve"> a Flow-through Entity is not a UPE </w:t>
      </w:r>
      <w:r w:rsidR="00412033">
        <w:t xml:space="preserve">and </w:t>
      </w:r>
      <w:r w:rsidR="00CF2649">
        <w:t>is not required</w:t>
      </w:r>
      <w:r w:rsidR="0014163C">
        <w:t xml:space="preserve"> to apply an </w:t>
      </w:r>
      <w:r w:rsidR="00412033">
        <w:t xml:space="preserve">IIR in a particular jurisdiction, it is a Stateless </w:t>
      </w:r>
      <w:r w:rsidR="00853322">
        <w:t>E</w:t>
      </w:r>
      <w:r w:rsidR="00412033">
        <w:t>ntity</w:t>
      </w:r>
      <w:r w:rsidR="00853322">
        <w:t xml:space="preserve"> of the MNE Group</w:t>
      </w:r>
      <w:r w:rsidR="00412033">
        <w:t>.</w:t>
      </w:r>
      <w:r w:rsidR="00853322">
        <w:br/>
      </w:r>
      <w:r w:rsidR="00853322" w:rsidRPr="00853322">
        <w:rPr>
          <w:rStyle w:val="References"/>
        </w:rPr>
        <w:t>[S</w:t>
      </w:r>
      <w:r w:rsidR="00AF7E7C">
        <w:rPr>
          <w:rStyle w:val="References"/>
        </w:rPr>
        <w:t xml:space="preserve">ubsection 33(3) of the Assessment </w:t>
      </w:r>
      <w:r w:rsidR="004F5B1B">
        <w:rPr>
          <w:rStyle w:val="References"/>
        </w:rPr>
        <w:t>Bill</w:t>
      </w:r>
      <w:r w:rsidR="00853322" w:rsidRPr="00853322">
        <w:rPr>
          <w:rStyle w:val="References"/>
        </w:rPr>
        <w:t xml:space="preserve">] </w:t>
      </w:r>
    </w:p>
    <w:p w14:paraId="423C9D05" w14:textId="0764E5B2" w:rsidR="00546592" w:rsidRPr="00546592" w:rsidRDefault="00546592" w:rsidP="00546592">
      <w:pPr>
        <w:keepNext/>
        <w:keepLines/>
        <w:numPr>
          <w:ilvl w:val="3"/>
          <w:numId w:val="2"/>
        </w:numPr>
        <w:spacing w:before="280" w:after="240"/>
        <w:outlineLvl w:val="3"/>
        <w:rPr>
          <w:rFonts w:eastAsiaTheme="majorEastAsia" w:cstheme="majorBidi"/>
        </w:rPr>
      </w:pPr>
      <w:r w:rsidRPr="00546592">
        <w:rPr>
          <w:rFonts w:ascii="Helvetica" w:eastAsiaTheme="majorEastAsia" w:hAnsi="Helvetica" w:cstheme="majorBidi"/>
          <w:iCs/>
          <w:sz w:val="28"/>
        </w:rPr>
        <w:t>Location of a Permanent Establishment</w:t>
      </w:r>
    </w:p>
    <w:p w14:paraId="47C7E51E" w14:textId="08556D0A" w:rsidR="00546592" w:rsidRPr="009462A4" w:rsidRDefault="00546592" w:rsidP="00546592">
      <w:pPr>
        <w:numPr>
          <w:ilvl w:val="1"/>
          <w:numId w:val="47"/>
        </w:numPr>
      </w:pPr>
      <w:r w:rsidRPr="00B711C9">
        <w:t>The location of a Permanent Establishment is determined with reference to the definition of Permanent Establishment</w:t>
      </w:r>
      <w:r w:rsidR="00F00D93">
        <w:t xml:space="preserve"> under the</w:t>
      </w:r>
      <w:r w:rsidR="001B10DF">
        <w:t xml:space="preserve"> Assessment </w:t>
      </w:r>
      <w:r w:rsidR="004F5B1B">
        <w:t>Bill</w:t>
      </w:r>
      <w:r w:rsidR="001437BB">
        <w:t xml:space="preserve">, which </w:t>
      </w:r>
      <w:r w:rsidR="00FD56C3">
        <w:t xml:space="preserve">broadly </w:t>
      </w:r>
      <w:r w:rsidR="00275584">
        <w:t>covers a Permanent Establishment under any applicable tax treaty</w:t>
      </w:r>
      <w:r w:rsidR="00761888">
        <w:t xml:space="preserve"> or the OECD Model Tax Convention</w:t>
      </w:r>
      <w:r w:rsidR="00275584">
        <w:t xml:space="preserve">, </w:t>
      </w:r>
      <w:r w:rsidR="005C42F0">
        <w:t xml:space="preserve">or the </w:t>
      </w:r>
      <w:r w:rsidR="0076085D">
        <w:t>jurisdiction</w:t>
      </w:r>
      <w:r w:rsidR="005C42F0">
        <w:t xml:space="preserve"> </w:t>
      </w:r>
      <w:r w:rsidR="0076085D">
        <w:t xml:space="preserve">that taxes </w:t>
      </w:r>
      <w:r w:rsidR="005C42F0">
        <w:t>th</w:t>
      </w:r>
      <w:r w:rsidR="00FD56C3">
        <w:t>e income from the carrying on of</w:t>
      </w:r>
      <w:r w:rsidR="005C42F0">
        <w:t xml:space="preserve"> business</w:t>
      </w:r>
      <w:r w:rsidR="009F3396">
        <w:t xml:space="preserve"> in that </w:t>
      </w:r>
      <w:r w:rsidR="00761888">
        <w:t xml:space="preserve">jurisdiction. </w:t>
      </w:r>
      <w:r w:rsidRPr="00B711C9">
        <w:t xml:space="preserve">If </w:t>
      </w:r>
      <w:r w:rsidR="00596957">
        <w:t xml:space="preserve">any of these </w:t>
      </w:r>
      <w:r w:rsidR="00B52442">
        <w:t xml:space="preserve">situations apply, as set out in </w:t>
      </w:r>
      <w:r w:rsidRPr="00B711C9">
        <w:t>paragraph</w:t>
      </w:r>
      <w:r w:rsidR="00B52442">
        <w:t>s</w:t>
      </w:r>
      <w:r w:rsidRPr="00B711C9">
        <w:t xml:space="preserve"> (a), (b) </w:t>
      </w:r>
      <w:r w:rsidR="00AA0CB5" w:rsidRPr="00B711C9">
        <w:t xml:space="preserve">or </w:t>
      </w:r>
      <w:r w:rsidRPr="00B711C9">
        <w:t xml:space="preserve">(c) of the definition </w:t>
      </w:r>
      <w:r w:rsidR="001B10DF">
        <w:t xml:space="preserve">of </w:t>
      </w:r>
      <w:r w:rsidR="00B52442">
        <w:t>Permanent Establishment</w:t>
      </w:r>
      <w:r w:rsidRPr="00B711C9">
        <w:t>, the Permanent Establishment is located in the jurisdiction mentioned in that paragraph. These are catch-all provisions to ensure that the location of a Permanent Establishment can be determined even where different jurisdictions may treat places of business differently.</w:t>
      </w:r>
      <w:r w:rsidR="004D6578">
        <w:br/>
      </w:r>
      <w:r w:rsidR="004D6578" w:rsidRPr="004D6578">
        <w:rPr>
          <w:rStyle w:val="References"/>
        </w:rPr>
        <w:t>[S</w:t>
      </w:r>
      <w:r w:rsidR="001F5B91">
        <w:rPr>
          <w:rStyle w:val="References"/>
        </w:rPr>
        <w:t>ubsections 34(1) and (2)</w:t>
      </w:r>
      <w:r w:rsidR="00F029FF">
        <w:rPr>
          <w:rStyle w:val="References"/>
        </w:rPr>
        <w:t xml:space="preserve"> </w:t>
      </w:r>
      <w:r w:rsidR="001F5B91">
        <w:rPr>
          <w:rStyle w:val="References"/>
        </w:rPr>
        <w:t xml:space="preserve">of the Assessment </w:t>
      </w:r>
      <w:r w:rsidR="004F5B1B">
        <w:rPr>
          <w:rStyle w:val="References"/>
        </w:rPr>
        <w:t>Bill</w:t>
      </w:r>
      <w:r w:rsidR="004D6578" w:rsidRPr="004D6578">
        <w:rPr>
          <w:rStyle w:val="References"/>
        </w:rPr>
        <w:t xml:space="preserve">] </w:t>
      </w:r>
    </w:p>
    <w:p w14:paraId="78716476" w14:textId="042EB231" w:rsidR="00546592" w:rsidRPr="00546592" w:rsidRDefault="00546592" w:rsidP="00546592">
      <w:pPr>
        <w:numPr>
          <w:ilvl w:val="1"/>
          <w:numId w:val="47"/>
        </w:numPr>
        <w:rPr>
          <w:bCs/>
          <w:iCs/>
        </w:rPr>
      </w:pPr>
      <w:r w:rsidRPr="00B711C9">
        <w:t xml:space="preserve">Paragraph (d) applies where </w:t>
      </w:r>
      <w:r w:rsidRPr="009462A4">
        <w:t>the residence jurisdiction exempts the income from a resident’s operations (or a portion of its operations) on the grounds that they are conducted outside of the residence jurisdiction</w:t>
      </w:r>
      <w:r w:rsidRPr="00B711C9">
        <w:t>.</w:t>
      </w:r>
      <w:r w:rsidRPr="009462A4">
        <w:t xml:space="preserve"> </w:t>
      </w:r>
      <w:r w:rsidRPr="00B711C9">
        <w:t>In this case, the Permanent Establishment will be treated as a Stateless Constituent Entity.</w:t>
      </w:r>
      <w:r w:rsidRPr="00546592">
        <w:rPr>
          <w:b/>
          <w:bCs/>
          <w:i/>
          <w:iCs/>
        </w:rPr>
        <w:t xml:space="preserve"> </w:t>
      </w:r>
      <w:r w:rsidRPr="00546592">
        <w:rPr>
          <w:b/>
          <w:bCs/>
          <w:i/>
          <w:iCs/>
        </w:rPr>
        <w:br/>
        <w:t>[</w:t>
      </w:r>
      <w:r w:rsidR="00D20B31">
        <w:rPr>
          <w:b/>
          <w:bCs/>
          <w:i/>
          <w:iCs/>
        </w:rPr>
        <w:t>Subsections</w:t>
      </w:r>
      <w:r w:rsidRPr="00546592">
        <w:rPr>
          <w:b/>
          <w:bCs/>
          <w:i/>
          <w:iCs/>
        </w:rPr>
        <w:t xml:space="preserve"> 1</w:t>
      </w:r>
      <w:r w:rsidR="005F7583">
        <w:rPr>
          <w:b/>
          <w:bCs/>
          <w:i/>
          <w:iCs/>
        </w:rPr>
        <w:t>5</w:t>
      </w:r>
      <w:r w:rsidRPr="00546592">
        <w:rPr>
          <w:b/>
          <w:bCs/>
          <w:i/>
          <w:iCs/>
        </w:rPr>
        <w:t>(2)</w:t>
      </w:r>
      <w:r w:rsidR="00F029FF">
        <w:rPr>
          <w:b/>
          <w:bCs/>
          <w:i/>
          <w:iCs/>
        </w:rPr>
        <w:t>(d</w:t>
      </w:r>
      <w:r w:rsidRPr="00546592">
        <w:rPr>
          <w:b/>
          <w:bCs/>
          <w:i/>
          <w:iCs/>
        </w:rPr>
        <w:t>)</w:t>
      </w:r>
      <w:r w:rsidR="00F33100">
        <w:rPr>
          <w:b/>
          <w:bCs/>
          <w:i/>
          <w:iCs/>
        </w:rPr>
        <w:t xml:space="preserve"> and </w:t>
      </w:r>
      <w:r w:rsidR="005F7583">
        <w:rPr>
          <w:b/>
          <w:bCs/>
          <w:i/>
          <w:iCs/>
        </w:rPr>
        <w:t>3</w:t>
      </w:r>
      <w:r w:rsidR="001F5B91">
        <w:rPr>
          <w:b/>
          <w:bCs/>
          <w:i/>
          <w:iCs/>
        </w:rPr>
        <w:t>4(</w:t>
      </w:r>
      <w:r w:rsidR="00F029FF">
        <w:rPr>
          <w:b/>
          <w:bCs/>
          <w:i/>
          <w:iCs/>
        </w:rPr>
        <w:t>3)</w:t>
      </w:r>
      <w:r w:rsidRPr="00546592">
        <w:rPr>
          <w:b/>
          <w:bCs/>
          <w:i/>
          <w:iCs/>
        </w:rPr>
        <w:t xml:space="preserve"> of the </w:t>
      </w:r>
      <w:r w:rsidR="0085520F">
        <w:rPr>
          <w:b/>
          <w:bCs/>
          <w:i/>
          <w:iCs/>
        </w:rPr>
        <w:t xml:space="preserve">Assessment </w:t>
      </w:r>
      <w:r w:rsidR="004F5B1B">
        <w:rPr>
          <w:b/>
          <w:bCs/>
          <w:i/>
          <w:iCs/>
        </w:rPr>
        <w:t>Bill</w:t>
      </w:r>
      <w:r w:rsidRPr="00546592">
        <w:rPr>
          <w:b/>
          <w:bCs/>
          <w:i/>
          <w:iCs/>
        </w:rPr>
        <w:t>]</w:t>
      </w:r>
    </w:p>
    <w:p w14:paraId="3F2B2242" w14:textId="0B772337" w:rsidR="00546592" w:rsidRPr="00546592" w:rsidRDefault="00546592" w:rsidP="00546592">
      <w:pPr>
        <w:keepNext/>
        <w:keepLines/>
        <w:numPr>
          <w:ilvl w:val="3"/>
          <w:numId w:val="2"/>
        </w:numPr>
        <w:spacing w:before="280" w:after="240"/>
        <w:outlineLvl w:val="3"/>
        <w:rPr>
          <w:rFonts w:eastAsiaTheme="majorEastAsia" w:cstheme="majorBidi"/>
        </w:rPr>
      </w:pPr>
      <w:r w:rsidRPr="00546592">
        <w:rPr>
          <w:rFonts w:ascii="Helvetica" w:eastAsiaTheme="majorEastAsia" w:hAnsi="Helvetica" w:cstheme="majorBidi"/>
          <w:iCs/>
          <w:sz w:val="28"/>
        </w:rPr>
        <w:t>Dual-located entities</w:t>
      </w:r>
    </w:p>
    <w:p w14:paraId="171386C3" w14:textId="5991101D" w:rsidR="00546592" w:rsidRPr="009462A4" w:rsidRDefault="00546592" w:rsidP="00546592">
      <w:pPr>
        <w:numPr>
          <w:ilvl w:val="1"/>
          <w:numId w:val="47"/>
        </w:numPr>
      </w:pPr>
      <w:r w:rsidRPr="00B711C9">
        <w:t xml:space="preserve">For the purposes of the ETR and </w:t>
      </w:r>
      <w:r w:rsidR="00D54F02">
        <w:t>t</w:t>
      </w:r>
      <w:r w:rsidRPr="00B711C9">
        <w:t xml:space="preserve">op-up </w:t>
      </w:r>
      <w:r w:rsidR="00D54F02">
        <w:t>t</w:t>
      </w:r>
      <w:r w:rsidRPr="00B711C9">
        <w:t xml:space="preserve">ax computation, the tax attributes of a Constituent Entity can only be considered in one jurisdiction. Additionally, to avoid double taxation, a Constituent Entity can only be required to apply the IIR or UTPR in one jurisdiction. </w:t>
      </w:r>
    </w:p>
    <w:p w14:paraId="3DD54181" w14:textId="52F6B80A" w:rsidR="00546592" w:rsidRPr="009803AB" w:rsidRDefault="00546592" w:rsidP="00546592">
      <w:pPr>
        <w:numPr>
          <w:ilvl w:val="1"/>
          <w:numId w:val="47"/>
        </w:numPr>
      </w:pPr>
      <w:r w:rsidRPr="00B711C9">
        <w:t xml:space="preserve">To address situations where a Constituent Entity, other than a Permanent Establishment, is located in two or more jurisdictions, a Constituent Entity is taken to be located, for the Fiscal Year, in the jurisdiction worked out in accordance with </w:t>
      </w:r>
      <w:r w:rsidR="00A40A6E">
        <w:t>T</w:t>
      </w:r>
      <w:r w:rsidRPr="00B711C9">
        <w:t>he Rules, unless it is a Stateless Constituent Entity.</w:t>
      </w:r>
      <w:r w:rsidRPr="00546592">
        <w:rPr>
          <w:b/>
          <w:bCs/>
          <w:i/>
          <w:iCs/>
        </w:rPr>
        <w:br/>
        <w:t>[S</w:t>
      </w:r>
      <w:r w:rsidR="008B0725">
        <w:rPr>
          <w:b/>
          <w:bCs/>
          <w:i/>
          <w:iCs/>
        </w:rPr>
        <w:t>ubs</w:t>
      </w:r>
      <w:r w:rsidRPr="00546592">
        <w:rPr>
          <w:b/>
          <w:bCs/>
          <w:i/>
          <w:iCs/>
        </w:rPr>
        <w:t xml:space="preserve">ection </w:t>
      </w:r>
      <w:r w:rsidR="003F3641">
        <w:rPr>
          <w:b/>
          <w:bCs/>
          <w:i/>
          <w:iCs/>
        </w:rPr>
        <w:t>3</w:t>
      </w:r>
      <w:r w:rsidR="00F029FF">
        <w:rPr>
          <w:b/>
          <w:bCs/>
          <w:i/>
          <w:iCs/>
        </w:rPr>
        <w:t>5</w:t>
      </w:r>
      <w:r w:rsidRPr="00546592">
        <w:rPr>
          <w:b/>
          <w:bCs/>
          <w:i/>
          <w:iCs/>
        </w:rPr>
        <w:t xml:space="preserve">(2) of the </w:t>
      </w:r>
      <w:r w:rsidR="00E123F9">
        <w:rPr>
          <w:b/>
          <w:bCs/>
          <w:i/>
          <w:iCs/>
        </w:rPr>
        <w:t>Assessment Bill</w:t>
      </w:r>
      <w:r w:rsidRPr="00546592">
        <w:rPr>
          <w:b/>
          <w:bCs/>
          <w:i/>
          <w:iCs/>
        </w:rPr>
        <w:t>]</w:t>
      </w:r>
    </w:p>
    <w:p w14:paraId="6BB6D682" w14:textId="6CE1D5FA" w:rsidR="00546592" w:rsidRDefault="00AB6930" w:rsidP="001E719C">
      <w:pPr>
        <w:pStyle w:val="Heading3"/>
        <w:rPr>
          <w:rFonts w:hint="eastAsia"/>
          <w:sz w:val="36"/>
          <w:szCs w:val="26"/>
        </w:rPr>
      </w:pPr>
      <w:r>
        <w:rPr>
          <w:sz w:val="36"/>
          <w:szCs w:val="26"/>
        </w:rPr>
        <w:lastRenderedPageBreak/>
        <w:t>Definitions</w:t>
      </w:r>
    </w:p>
    <w:p w14:paraId="674C6039" w14:textId="07CCAA9B" w:rsidR="00F37B04" w:rsidRPr="00F37B04" w:rsidRDefault="00F37B04" w:rsidP="00F37B04">
      <w:pPr>
        <w:pStyle w:val="Normalparatextwithnumbers"/>
      </w:pPr>
      <w:r>
        <w:t xml:space="preserve">Relevant provisions of </w:t>
      </w:r>
      <w:r w:rsidR="00555C13">
        <w:t>the A</w:t>
      </w:r>
      <w:r w:rsidR="0069781C">
        <w:t xml:space="preserve">ssessment Bill and </w:t>
      </w:r>
      <w:r>
        <w:t xml:space="preserve">The Rules that define certain terms are provided in the Definition section. </w:t>
      </w:r>
      <w:r w:rsidR="00255979">
        <w:t>Additional commentary on some of the terms defined in the Assessment Bill</w:t>
      </w:r>
      <w:r w:rsidR="001E67D4">
        <w:t xml:space="preserve"> </w:t>
      </w:r>
      <w:r w:rsidR="00255979">
        <w:t>is</w:t>
      </w:r>
      <w:r>
        <w:t xml:space="preserve"> set out in the following table.  </w:t>
      </w:r>
    </w:p>
    <w:tbl>
      <w:tblPr>
        <w:tblStyle w:val="TableGrid"/>
        <w:tblW w:w="4878" w:type="pct"/>
        <w:tblInd w:w="137" w:type="dxa"/>
        <w:tblLook w:val="04A0" w:firstRow="1" w:lastRow="0" w:firstColumn="1" w:lastColumn="0" w:noHBand="0" w:noVBand="1"/>
      </w:tblPr>
      <w:tblGrid>
        <w:gridCol w:w="1983"/>
        <w:gridCol w:w="1333"/>
        <w:gridCol w:w="4197"/>
      </w:tblGrid>
      <w:tr w:rsidR="00AB6930" w:rsidRPr="00546592" w14:paraId="5242075B" w14:textId="77777777" w:rsidTr="005A6B49">
        <w:tc>
          <w:tcPr>
            <w:tcW w:w="1320" w:type="pct"/>
          </w:tcPr>
          <w:p w14:paraId="19A03949" w14:textId="68360219" w:rsidR="00AB6930" w:rsidRPr="00AB6930" w:rsidRDefault="00AB6930" w:rsidP="00546592">
            <w:pPr>
              <w:spacing w:before="60" w:after="60"/>
              <w:ind w:left="34"/>
              <w:rPr>
                <w:b/>
                <w:bCs/>
              </w:rPr>
            </w:pPr>
            <w:r w:rsidRPr="00AB6930">
              <w:rPr>
                <w:b/>
                <w:bCs/>
              </w:rPr>
              <w:t>Definition</w:t>
            </w:r>
          </w:p>
        </w:tc>
        <w:tc>
          <w:tcPr>
            <w:tcW w:w="887" w:type="pct"/>
          </w:tcPr>
          <w:p w14:paraId="32C25ADF" w14:textId="05DBC0FC" w:rsidR="00AB6930" w:rsidRPr="00AB6930" w:rsidRDefault="00AB6930" w:rsidP="00546592">
            <w:pPr>
              <w:spacing w:before="60" w:after="60"/>
              <w:ind w:left="34"/>
              <w:rPr>
                <w:b/>
                <w:bCs/>
              </w:rPr>
            </w:pPr>
            <w:r w:rsidRPr="00AB6930">
              <w:rPr>
                <w:b/>
                <w:bCs/>
              </w:rPr>
              <w:t>Reference</w:t>
            </w:r>
          </w:p>
        </w:tc>
        <w:tc>
          <w:tcPr>
            <w:tcW w:w="2792" w:type="pct"/>
          </w:tcPr>
          <w:p w14:paraId="6524DD13" w14:textId="3C00562C" w:rsidR="00AB6930" w:rsidRPr="00AB6930" w:rsidRDefault="00AB6930" w:rsidP="00AB6930">
            <w:pPr>
              <w:spacing w:before="60" w:after="60"/>
              <w:ind w:left="34"/>
              <w:rPr>
                <w:b/>
                <w:bCs/>
              </w:rPr>
            </w:pPr>
            <w:r w:rsidRPr="00AB6930">
              <w:rPr>
                <w:b/>
                <w:bCs/>
              </w:rPr>
              <w:t>Comments</w:t>
            </w:r>
          </w:p>
        </w:tc>
      </w:tr>
      <w:tr w:rsidR="00B84617" w:rsidRPr="00546592" w14:paraId="6F7E2EA9" w14:textId="77777777" w:rsidTr="005A6B49">
        <w:tc>
          <w:tcPr>
            <w:tcW w:w="1320" w:type="pct"/>
          </w:tcPr>
          <w:p w14:paraId="697C43BF" w14:textId="77777777" w:rsidR="00546592" w:rsidRPr="00546592" w:rsidRDefault="00546592" w:rsidP="00546592">
            <w:pPr>
              <w:spacing w:before="60" w:after="60"/>
              <w:ind w:left="34"/>
            </w:pPr>
            <w:r w:rsidRPr="00546592">
              <w:t>Consolidated Financial Statements (CFS)</w:t>
            </w:r>
          </w:p>
        </w:tc>
        <w:tc>
          <w:tcPr>
            <w:tcW w:w="887" w:type="pct"/>
          </w:tcPr>
          <w:p w14:paraId="5F3FE91A" w14:textId="0A3469BF" w:rsidR="00546592" w:rsidRPr="00546592" w:rsidRDefault="00546592" w:rsidP="00546592">
            <w:pPr>
              <w:spacing w:before="60" w:after="60"/>
              <w:ind w:left="34"/>
            </w:pPr>
            <w:r w:rsidRPr="00546592">
              <w:t xml:space="preserve">Section </w:t>
            </w:r>
            <w:r w:rsidR="00A3223F">
              <w:t>26</w:t>
            </w:r>
          </w:p>
        </w:tc>
        <w:tc>
          <w:tcPr>
            <w:tcW w:w="2792" w:type="pct"/>
          </w:tcPr>
          <w:p w14:paraId="1AC26AA3" w14:textId="11D370E1" w:rsidR="00546592" w:rsidRPr="005A6B49" w:rsidRDefault="00546592" w:rsidP="00A01193">
            <w:pPr>
              <w:ind w:left="0"/>
              <w:rPr>
                <w:rFonts w:eastAsiaTheme="minorHAnsi"/>
              </w:rPr>
            </w:pPr>
            <w:r w:rsidRPr="005A6B49">
              <w:rPr>
                <w:rFonts w:eastAsiaTheme="minorHAnsi"/>
              </w:rPr>
              <w:t>Paragraph (d) of the definition does not require an entity to consolidate assets, liabilities, income, expenses and cash flows on a line</w:t>
            </w:r>
            <w:r w:rsidR="008733BE" w:rsidRPr="005A6B49">
              <w:rPr>
                <w:rFonts w:eastAsiaTheme="minorHAnsi"/>
              </w:rPr>
              <w:noBreakHyphen/>
            </w:r>
            <w:r w:rsidRPr="005A6B49">
              <w:rPr>
                <w:rFonts w:eastAsiaTheme="minorHAnsi"/>
              </w:rPr>
              <w:t>by</w:t>
            </w:r>
            <w:r w:rsidR="008733BE" w:rsidRPr="005A6B49">
              <w:rPr>
                <w:rFonts w:eastAsiaTheme="minorHAnsi"/>
              </w:rPr>
              <w:noBreakHyphen/>
            </w:r>
            <w:r w:rsidRPr="005A6B49">
              <w:rPr>
                <w:rFonts w:eastAsiaTheme="minorHAnsi"/>
              </w:rPr>
              <w:t xml:space="preserve">line basis whether the authorised accounting standard does not require that consolidation. </w:t>
            </w:r>
          </w:p>
          <w:p w14:paraId="2F81ADC8" w14:textId="793E8A74" w:rsidR="00546592" w:rsidRPr="005A6B49" w:rsidRDefault="00546592" w:rsidP="00A01193">
            <w:pPr>
              <w:ind w:left="0"/>
              <w:rPr>
                <w:rFonts w:eastAsiaTheme="minorHAnsi"/>
              </w:rPr>
            </w:pPr>
            <w:r w:rsidRPr="005A6B49">
              <w:rPr>
                <w:rFonts w:eastAsiaTheme="minorHAnsi"/>
              </w:rPr>
              <w:t>Section 1</w:t>
            </w:r>
            <w:r w:rsidR="00502C98" w:rsidRPr="005A6B49">
              <w:rPr>
                <w:rFonts w:eastAsiaTheme="minorHAnsi"/>
              </w:rPr>
              <w:t xml:space="preserve">4 of the </w:t>
            </w:r>
            <w:r w:rsidR="0085520F" w:rsidRPr="005A6B49">
              <w:rPr>
                <w:rFonts w:eastAsiaTheme="minorHAnsi"/>
              </w:rPr>
              <w:t xml:space="preserve">Assessment </w:t>
            </w:r>
            <w:r w:rsidR="004F5B1B">
              <w:rPr>
                <w:rFonts w:eastAsiaTheme="minorHAnsi"/>
              </w:rPr>
              <w:t>Bill</w:t>
            </w:r>
            <w:r w:rsidRPr="005A6B49">
              <w:rPr>
                <w:rFonts w:eastAsiaTheme="minorHAnsi"/>
              </w:rPr>
              <w:t xml:space="preserve"> defines ‘Group’. This definition also applies to CFS.</w:t>
            </w:r>
          </w:p>
          <w:p w14:paraId="1CF49ED6" w14:textId="77777777" w:rsidR="00546592" w:rsidRPr="005A6B49" w:rsidRDefault="00546592" w:rsidP="00A01193">
            <w:pPr>
              <w:ind w:left="0"/>
              <w:rPr>
                <w:rFonts w:eastAsiaTheme="minorHAnsi"/>
              </w:rPr>
            </w:pPr>
            <w:r w:rsidRPr="005A6B49">
              <w:rPr>
                <w:rFonts w:eastAsiaTheme="minorHAnsi"/>
              </w:rPr>
              <w:t xml:space="preserve">The deemed consolidation test interacts with paragraph (b) of the controlling interest definition. An entity with an ownership interest in another entity is deemed to have a controlling interest if the interest holder would be required to consolidate if it had prepared CFS. </w:t>
            </w:r>
          </w:p>
        </w:tc>
      </w:tr>
      <w:tr w:rsidR="00B84617" w:rsidRPr="00546592" w14:paraId="40AD37A6" w14:textId="77777777" w:rsidTr="005A6B49">
        <w:tc>
          <w:tcPr>
            <w:tcW w:w="1320" w:type="pct"/>
          </w:tcPr>
          <w:p w14:paraId="0089F7CE" w14:textId="77777777" w:rsidR="00546592" w:rsidRPr="00546592" w:rsidRDefault="00546592" w:rsidP="00546592">
            <w:pPr>
              <w:spacing w:before="60" w:after="60"/>
              <w:ind w:left="34"/>
            </w:pPr>
            <w:r w:rsidRPr="00546592">
              <w:t>GloBE Information Return</w:t>
            </w:r>
          </w:p>
        </w:tc>
        <w:tc>
          <w:tcPr>
            <w:tcW w:w="887" w:type="pct"/>
          </w:tcPr>
          <w:p w14:paraId="47F445BE" w14:textId="3471882F" w:rsidR="00546592" w:rsidRPr="00546592" w:rsidRDefault="00546592" w:rsidP="00546592">
            <w:pPr>
              <w:spacing w:before="60" w:after="60"/>
              <w:ind w:left="34"/>
            </w:pPr>
            <w:r w:rsidRPr="00546592">
              <w:t xml:space="preserve">Section </w:t>
            </w:r>
            <w:r w:rsidR="002500C1">
              <w:t>26</w:t>
            </w:r>
          </w:p>
        </w:tc>
        <w:tc>
          <w:tcPr>
            <w:tcW w:w="2792" w:type="pct"/>
          </w:tcPr>
          <w:p w14:paraId="595C3013" w14:textId="4901CD68" w:rsidR="00546592" w:rsidRPr="00546592" w:rsidRDefault="00546592" w:rsidP="007A36F3">
            <w:pPr>
              <w:spacing w:before="60" w:after="60"/>
              <w:ind w:left="34"/>
              <w:rPr>
                <w:rFonts w:eastAsiaTheme="minorHAnsi" w:cstheme="minorBidi"/>
                <w:sz w:val="22"/>
                <w:szCs w:val="22"/>
                <w:lang w:eastAsia="en-US"/>
              </w:rPr>
            </w:pPr>
            <w:r w:rsidRPr="00546592">
              <w:t>The GloBE Information Return is a document filed by a Constituent Entity</w:t>
            </w:r>
            <w:r w:rsidR="007A36F3">
              <w:t xml:space="preserve"> and </w:t>
            </w:r>
            <w:r w:rsidR="007A36F3" w:rsidRPr="007A36F3">
              <w:t>is a return</w:t>
            </w:r>
            <w:r w:rsidR="007A36F3" w:rsidRPr="007A36F3">
              <w:rPr>
                <w:rFonts w:eastAsiaTheme="minorHAnsi"/>
              </w:rPr>
              <w:t xml:space="preserve"> that is </w:t>
            </w:r>
            <w:r w:rsidR="007A36F3" w:rsidRPr="007A36F3">
              <w:t>published by the OECD on 17 July 2023</w:t>
            </w:r>
            <w:r w:rsidR="007A36F3" w:rsidRPr="007A36F3">
              <w:rPr>
                <w:rFonts w:eastAsiaTheme="minorHAnsi"/>
              </w:rPr>
              <w:t xml:space="preserve"> as </w:t>
            </w:r>
            <w:r w:rsidR="007A36F3" w:rsidRPr="007A36F3">
              <w:t>amended from time to time</w:t>
            </w:r>
            <w:r w:rsidR="007A36F3">
              <w:t>.</w:t>
            </w:r>
            <w:r w:rsidRPr="00546592">
              <w:t xml:space="preserve"> </w:t>
            </w:r>
          </w:p>
        </w:tc>
      </w:tr>
      <w:tr w:rsidR="00B84617" w:rsidRPr="00546592" w14:paraId="5D96B9C2" w14:textId="77777777" w:rsidTr="005A6B49">
        <w:tc>
          <w:tcPr>
            <w:tcW w:w="1320" w:type="pct"/>
          </w:tcPr>
          <w:p w14:paraId="6A712E2D" w14:textId="77777777" w:rsidR="00546592" w:rsidRPr="00546592" w:rsidRDefault="00546592" w:rsidP="00546592">
            <w:pPr>
              <w:spacing w:before="60" w:after="60"/>
              <w:ind w:left="34"/>
            </w:pPr>
            <w:r w:rsidRPr="00546592">
              <w:t>Real Estate Investment Vehicle</w:t>
            </w:r>
          </w:p>
        </w:tc>
        <w:tc>
          <w:tcPr>
            <w:tcW w:w="887" w:type="pct"/>
          </w:tcPr>
          <w:p w14:paraId="13055562" w14:textId="4AFC3960" w:rsidR="00546592" w:rsidRPr="00546592" w:rsidRDefault="00546592" w:rsidP="00546592">
            <w:pPr>
              <w:spacing w:before="60" w:after="60"/>
              <w:ind w:left="34"/>
            </w:pPr>
            <w:r w:rsidRPr="00546592">
              <w:t xml:space="preserve">Section </w:t>
            </w:r>
            <w:r w:rsidR="00137327">
              <w:t>26</w:t>
            </w:r>
          </w:p>
        </w:tc>
        <w:tc>
          <w:tcPr>
            <w:tcW w:w="2792" w:type="pct"/>
          </w:tcPr>
          <w:p w14:paraId="4EA94CB2" w14:textId="3E39C0BE" w:rsidR="00546592" w:rsidRPr="00546592" w:rsidRDefault="00CD0FC9" w:rsidP="00546592">
            <w:pPr>
              <w:spacing w:before="60" w:after="60"/>
              <w:ind w:left="34"/>
            </w:pPr>
            <w:r>
              <w:t>An</w:t>
            </w:r>
            <w:r w:rsidR="00546592" w:rsidRPr="00546592">
              <w:t xml:space="preserve"> Entity that meets all of the following criteria:</w:t>
            </w:r>
          </w:p>
          <w:p w14:paraId="4FF01610" w14:textId="77777777" w:rsidR="00546592" w:rsidRPr="00546592" w:rsidRDefault="00546592" w:rsidP="00546592">
            <w:pPr>
              <w:spacing w:before="60" w:after="60"/>
              <w:ind w:left="720"/>
            </w:pPr>
            <w:r w:rsidRPr="00546592">
              <w:t>(a)</w:t>
            </w:r>
            <w:r w:rsidRPr="00546592">
              <w:tab/>
              <w:t>taxation of the Entity achieves a single level of taxation either in its hands or the hands of the holders of the Ownership Interests in the Entity (with at most one year of deferral);</w:t>
            </w:r>
          </w:p>
          <w:p w14:paraId="488B5601" w14:textId="77777777" w:rsidR="00546592" w:rsidRPr="00546592" w:rsidRDefault="00546592" w:rsidP="00546592">
            <w:pPr>
              <w:spacing w:before="60" w:after="60"/>
              <w:ind w:left="720"/>
            </w:pPr>
            <w:r w:rsidRPr="00546592">
              <w:t>(b)</w:t>
            </w:r>
            <w:r w:rsidRPr="00546592">
              <w:tab/>
              <w:t>it holds predominantly immovable property;</w:t>
            </w:r>
          </w:p>
          <w:p w14:paraId="246F3750" w14:textId="77777777" w:rsidR="00546592" w:rsidRPr="00546592" w:rsidRDefault="00546592" w:rsidP="00546592">
            <w:pPr>
              <w:spacing w:before="60" w:after="60"/>
              <w:ind w:left="720"/>
            </w:pPr>
            <w:r w:rsidRPr="00546592">
              <w:t>(c)</w:t>
            </w:r>
            <w:r w:rsidRPr="00546592">
              <w:tab/>
              <w:t>it is widely held.</w:t>
            </w:r>
          </w:p>
          <w:p w14:paraId="59A9AE76" w14:textId="7407227A" w:rsidR="00546592" w:rsidRPr="00546592" w:rsidRDefault="00CD0FC9" w:rsidP="00546592">
            <w:pPr>
              <w:spacing w:before="60" w:after="60"/>
              <w:ind w:left="34"/>
            </w:pPr>
            <w:r w:rsidRPr="00546592">
              <w:t>A Real Estate Investment Vehicle that is owned directly by a small number of other widely-held Investment Entities or Pension Funds that have numerous beneficiaries is considered to be widely-held.</w:t>
            </w:r>
          </w:p>
        </w:tc>
      </w:tr>
    </w:tbl>
    <w:p w14:paraId="6C3C4EA9" w14:textId="77777777" w:rsidR="00546592" w:rsidRPr="00546592" w:rsidRDefault="00546592" w:rsidP="00546592">
      <w:pPr>
        <w:keepNext/>
        <w:keepLines/>
        <w:spacing w:before="360" w:after="360"/>
        <w:outlineLvl w:val="1"/>
        <w:rPr>
          <w:rFonts w:ascii="Helvitica" w:eastAsiaTheme="majorEastAsia" w:hAnsi="Helvitica" w:cstheme="majorBidi" w:hint="eastAsia"/>
          <w:sz w:val="36"/>
          <w:szCs w:val="26"/>
        </w:rPr>
      </w:pPr>
      <w:bookmarkStart w:id="56" w:name="_Toc158739662"/>
      <w:r w:rsidRPr="00546592">
        <w:rPr>
          <w:rFonts w:ascii="Helvitica" w:eastAsiaTheme="majorEastAsia" w:hAnsi="Helvitica" w:cstheme="majorBidi"/>
          <w:sz w:val="36"/>
          <w:szCs w:val="26"/>
        </w:rPr>
        <w:lastRenderedPageBreak/>
        <w:t>Commencement, application, and transitional provisions</w:t>
      </w:r>
      <w:bookmarkEnd w:id="56"/>
    </w:p>
    <w:p w14:paraId="394D708C" w14:textId="0BF1143E" w:rsidR="00546592" w:rsidRPr="00546592" w:rsidRDefault="0085520F">
      <w:pPr>
        <w:numPr>
          <w:ilvl w:val="1"/>
          <w:numId w:val="47"/>
        </w:numPr>
        <w:spacing w:after="0" w:line="360" w:lineRule="auto"/>
        <w:contextualSpacing/>
      </w:pPr>
      <w:r>
        <w:t>The Assessment</w:t>
      </w:r>
      <w:r w:rsidR="008874FB" w:rsidRPr="00546592">
        <w:t xml:space="preserve"> </w:t>
      </w:r>
      <w:r w:rsidR="004F5B1B">
        <w:t>Bill</w:t>
      </w:r>
      <w:r w:rsidR="00546592" w:rsidRPr="00546592">
        <w:t xml:space="preserve"> commences the day after Royal Assent.</w:t>
      </w:r>
    </w:p>
    <w:p w14:paraId="7F1E6576" w14:textId="7748A777" w:rsidR="005073A4" w:rsidRPr="00020288" w:rsidRDefault="00546592">
      <w:pPr>
        <w:numPr>
          <w:ilvl w:val="1"/>
          <w:numId w:val="47"/>
        </w:numPr>
        <w:spacing w:after="0" w:line="360" w:lineRule="auto"/>
        <w:contextualSpacing/>
        <w:sectPr w:rsidR="005073A4" w:rsidRPr="00020288" w:rsidSect="005073A4">
          <w:headerReference w:type="even" r:id="rId30"/>
          <w:headerReference w:type="default" r:id="rId31"/>
          <w:footerReference w:type="even" r:id="rId32"/>
          <w:footerReference w:type="default" r:id="rId33"/>
          <w:headerReference w:type="first" r:id="rId34"/>
          <w:footerReference w:type="first" r:id="rId35"/>
          <w:type w:val="oddPage"/>
          <w:pgSz w:w="9979" w:h="14175" w:code="9"/>
          <w:pgMar w:top="567" w:right="1134" w:bottom="567" w:left="1134" w:header="709" w:footer="709" w:gutter="0"/>
          <w:cols w:space="708"/>
          <w:titlePg/>
          <w:docGrid w:linePitch="360"/>
        </w:sectPr>
      </w:pPr>
      <w:r w:rsidRPr="00546592">
        <w:t>The amendments apply to Fiscal Years commencing on or after 1 January 2024.</w:t>
      </w:r>
      <w:bookmarkEnd w:id="50"/>
      <w:bookmarkEnd w:id="51"/>
      <w:bookmarkEnd w:id="52"/>
      <w:bookmarkEnd w:id="53"/>
      <w:bookmarkEnd w:id="54"/>
    </w:p>
    <w:p w14:paraId="4C276BD5" w14:textId="1B78F0A1" w:rsidR="005073A4" w:rsidRPr="0073326A" w:rsidRDefault="00117313" w:rsidP="00FD438A">
      <w:pPr>
        <w:pStyle w:val="Chapterheading"/>
        <w:rPr>
          <w:rFonts w:hint="eastAsia"/>
        </w:rPr>
      </w:pPr>
      <w:bookmarkStart w:id="57" w:name="_Toc160721067"/>
      <w:r w:rsidRPr="00FE765E">
        <w:lastRenderedPageBreak/>
        <w:t xml:space="preserve">Taxation (Multinational—Global and Domestic Minimum Tax) </w:t>
      </w:r>
      <w:r w:rsidR="005073A4">
        <w:t>Consequential Bill</w:t>
      </w:r>
      <w:r w:rsidR="00500291">
        <w:t xml:space="preserve"> 2024</w:t>
      </w:r>
      <w:bookmarkEnd w:id="57"/>
    </w:p>
    <w:p w14:paraId="6FC1A44E" w14:textId="77777777" w:rsidR="005073A4" w:rsidRPr="00020288" w:rsidRDefault="005073A4" w:rsidP="005D0844">
      <w:pPr>
        <w:pStyle w:val="Heading2"/>
        <w:rPr>
          <w:rFonts w:hint="eastAsia"/>
        </w:rPr>
      </w:pPr>
      <w:bookmarkStart w:id="58" w:name="_Toc160722794"/>
      <w:bookmarkStart w:id="59" w:name="Chapter3"/>
      <w:r w:rsidRPr="00020288">
        <w:t xml:space="preserve">Outline </w:t>
      </w:r>
      <w:r w:rsidRPr="005D0844">
        <w:t>of</w:t>
      </w:r>
      <w:r w:rsidRPr="00020288">
        <w:t xml:space="preserve"> chapter</w:t>
      </w:r>
      <w:bookmarkEnd w:id="58"/>
    </w:p>
    <w:p w14:paraId="3DDFB88F" w14:textId="2D5472AD" w:rsidR="00A34B73" w:rsidRDefault="00A34B73">
      <w:pPr>
        <w:pStyle w:val="Normalparatextwithnumbers"/>
      </w:pPr>
      <w:r>
        <w:t xml:space="preserve">This Chapter explains the operation of the </w:t>
      </w:r>
      <w:r w:rsidRPr="00D05451">
        <w:t xml:space="preserve">Taxation (Multinational—Global and Domestic Minimum Tax) </w:t>
      </w:r>
      <w:r>
        <w:t>Consequential</w:t>
      </w:r>
      <w:r w:rsidRPr="00D05451">
        <w:t xml:space="preserve"> Bill 2024 </w:t>
      </w:r>
      <w:r>
        <w:t xml:space="preserve">(Consequential Bill). </w:t>
      </w:r>
    </w:p>
    <w:p w14:paraId="351545BB" w14:textId="23FE66B4" w:rsidR="009B5F23" w:rsidRDefault="009B5F23">
      <w:pPr>
        <w:pStyle w:val="Normalparatextwithnumbers"/>
      </w:pPr>
      <w:r>
        <w:t xml:space="preserve">The Consequential Bill sets out the consequential and </w:t>
      </w:r>
      <w:r w:rsidRPr="00BB7AED">
        <w:t>miscellaneous</w:t>
      </w:r>
      <w:r>
        <w:t xml:space="preserve"> provisions necessary for the collection and recovery of GloBE </w:t>
      </w:r>
      <w:r w:rsidR="003B63E6">
        <w:t>t</w:t>
      </w:r>
      <w:r>
        <w:t xml:space="preserve">op-up </w:t>
      </w:r>
      <w:r w:rsidR="003B63E6">
        <w:t>t</w:t>
      </w:r>
      <w:r>
        <w:t>ax and D</w:t>
      </w:r>
      <w:r w:rsidR="0034170C">
        <w:t xml:space="preserve">omestic </w:t>
      </w:r>
      <w:r w:rsidR="003B63E6">
        <w:t>t</w:t>
      </w:r>
      <w:r>
        <w:t xml:space="preserve">op-up </w:t>
      </w:r>
      <w:r w:rsidR="003B63E6">
        <w:t>t</w:t>
      </w:r>
      <w:r>
        <w:t xml:space="preserve">ax. Both GloBE </w:t>
      </w:r>
      <w:r w:rsidR="00255390">
        <w:t>t</w:t>
      </w:r>
      <w:r>
        <w:t xml:space="preserve">op-up </w:t>
      </w:r>
      <w:r w:rsidR="00255390">
        <w:t>t</w:t>
      </w:r>
      <w:r>
        <w:t xml:space="preserve">ax and </w:t>
      </w:r>
      <w:r w:rsidR="0034170C">
        <w:t xml:space="preserve">Domestic </w:t>
      </w:r>
      <w:r w:rsidR="003B63E6">
        <w:t>t</w:t>
      </w:r>
      <w:r w:rsidR="0034170C">
        <w:t xml:space="preserve">op-up </w:t>
      </w:r>
      <w:r w:rsidR="003B63E6">
        <w:t>t</w:t>
      </w:r>
      <w:r w:rsidR="0034170C">
        <w:t>ax</w:t>
      </w:r>
      <w:r>
        <w:t xml:space="preserve"> link into the existing machinery provisions in the TAA 1953.</w:t>
      </w:r>
    </w:p>
    <w:p w14:paraId="0C20EE01" w14:textId="1E803BAF" w:rsidR="009B5F23" w:rsidRPr="00C60A98" w:rsidRDefault="009B5F23">
      <w:pPr>
        <w:pStyle w:val="Normalparatextwithnumbers"/>
      </w:pPr>
      <w:r>
        <w:t xml:space="preserve">The Commissioner has general administration of the </w:t>
      </w:r>
      <w:r w:rsidR="00E123F9">
        <w:t>Assessment Bill</w:t>
      </w:r>
      <w:r>
        <w:t xml:space="preserve">. Giving the Commissioner general administration brings the </w:t>
      </w:r>
      <w:r w:rsidR="00E32DFA">
        <w:t xml:space="preserve">Assessment Bill </w:t>
      </w:r>
      <w:r>
        <w:t xml:space="preserve">within the definition of </w:t>
      </w:r>
      <w:r>
        <w:rPr>
          <w:b/>
          <w:i/>
          <w:iCs/>
        </w:rPr>
        <w:t>taxation law</w:t>
      </w:r>
      <w:r>
        <w:rPr>
          <w:bCs/>
        </w:rPr>
        <w:t xml:space="preserve"> and ensures that a liability to pay either GloBE </w:t>
      </w:r>
      <w:r w:rsidR="00255390">
        <w:rPr>
          <w:bCs/>
        </w:rPr>
        <w:t>t</w:t>
      </w:r>
      <w:r>
        <w:rPr>
          <w:bCs/>
        </w:rPr>
        <w:t>op</w:t>
      </w:r>
      <w:r w:rsidR="00F81165">
        <w:rPr>
          <w:bCs/>
        </w:rPr>
        <w:noBreakHyphen/>
      </w:r>
      <w:r>
        <w:rPr>
          <w:bCs/>
        </w:rPr>
        <w:t xml:space="preserve">up tax or </w:t>
      </w:r>
      <w:r w:rsidR="0034170C">
        <w:rPr>
          <w:bCs/>
        </w:rPr>
        <w:t xml:space="preserve">Domestic </w:t>
      </w:r>
      <w:r w:rsidR="00255390">
        <w:rPr>
          <w:bCs/>
        </w:rPr>
        <w:t>t</w:t>
      </w:r>
      <w:r w:rsidR="0034170C">
        <w:rPr>
          <w:bCs/>
        </w:rPr>
        <w:t xml:space="preserve">op-up </w:t>
      </w:r>
      <w:r w:rsidR="00255390">
        <w:rPr>
          <w:bCs/>
        </w:rPr>
        <w:t>t</w:t>
      </w:r>
      <w:r w:rsidR="0034170C">
        <w:rPr>
          <w:bCs/>
        </w:rPr>
        <w:t>ax</w:t>
      </w:r>
      <w:r>
        <w:rPr>
          <w:bCs/>
        </w:rPr>
        <w:t xml:space="preserve"> is a </w:t>
      </w:r>
      <w:r w:rsidRPr="002877D0">
        <w:rPr>
          <w:b/>
          <w:i/>
          <w:iCs/>
        </w:rPr>
        <w:t>tax</w:t>
      </w:r>
      <w:r>
        <w:rPr>
          <w:b/>
          <w:i/>
          <w:iCs/>
        </w:rPr>
        <w:noBreakHyphen/>
      </w:r>
      <w:r w:rsidRPr="002877D0">
        <w:rPr>
          <w:b/>
          <w:i/>
          <w:iCs/>
        </w:rPr>
        <w:t>related liabilit</w:t>
      </w:r>
      <w:r>
        <w:rPr>
          <w:b/>
          <w:i/>
          <w:iCs/>
        </w:rPr>
        <w:t>y.</w:t>
      </w:r>
    </w:p>
    <w:p w14:paraId="66575262" w14:textId="64A6E106" w:rsidR="009B5F23" w:rsidRPr="001816CF" w:rsidRDefault="009B5F23">
      <w:pPr>
        <w:pStyle w:val="Normalparatextwithnumbers"/>
      </w:pPr>
      <w:r>
        <w:rPr>
          <w:iCs/>
        </w:rPr>
        <w:t xml:space="preserve">The amendments provide for the lodgment of returns, assessments and collection for both GloBE top-up tax and </w:t>
      </w:r>
      <w:r w:rsidR="0034170C">
        <w:rPr>
          <w:iCs/>
        </w:rPr>
        <w:t xml:space="preserve">Domestic </w:t>
      </w:r>
      <w:r w:rsidR="00255390">
        <w:rPr>
          <w:iCs/>
        </w:rPr>
        <w:t>t</w:t>
      </w:r>
      <w:r w:rsidR="0034170C">
        <w:rPr>
          <w:iCs/>
        </w:rPr>
        <w:t xml:space="preserve">op-up </w:t>
      </w:r>
      <w:r w:rsidR="00255390">
        <w:rPr>
          <w:iCs/>
        </w:rPr>
        <w:t>t</w:t>
      </w:r>
      <w:r w:rsidR="0034170C">
        <w:rPr>
          <w:iCs/>
        </w:rPr>
        <w:t>ax</w:t>
      </w:r>
      <w:r>
        <w:rPr>
          <w:iCs/>
        </w:rPr>
        <w:t xml:space="preserve">. Both shortfall interest charge and general interest charge apply to liabilities that arise under </w:t>
      </w:r>
      <w:r w:rsidR="00863AD2">
        <w:t xml:space="preserve">Assessment </w:t>
      </w:r>
      <w:r w:rsidR="004F5B1B">
        <w:t>Bill</w:t>
      </w:r>
      <w:r>
        <w:rPr>
          <w:iCs/>
        </w:rPr>
        <w:t>.</w:t>
      </w:r>
    </w:p>
    <w:p w14:paraId="3F007861" w14:textId="7A5EC9A4" w:rsidR="009B5F23" w:rsidRDefault="009B5F23">
      <w:pPr>
        <w:pStyle w:val="Normalparatextwithnumbers"/>
      </w:pPr>
      <w:r>
        <w:t xml:space="preserve">The amendments allow the Commissioner to issue rulings about the operation of the </w:t>
      </w:r>
      <w:r w:rsidR="00863AD2">
        <w:t>Assessment</w:t>
      </w:r>
      <w:r>
        <w:t xml:space="preserve"> </w:t>
      </w:r>
      <w:r w:rsidR="004F5B1B">
        <w:t>Bill</w:t>
      </w:r>
      <w:r>
        <w:t xml:space="preserve">, either as public rulings or as private rulings upon application and bring objections and appeals against assessments. </w:t>
      </w:r>
    </w:p>
    <w:p w14:paraId="101707F8" w14:textId="0158CDCA" w:rsidR="009B5F23" w:rsidRPr="000E521B" w:rsidRDefault="009B5F23" w:rsidP="009B5F23">
      <w:pPr>
        <w:pStyle w:val="Normalparatextwithnumbers"/>
      </w:pPr>
      <w:r>
        <w:t xml:space="preserve">The amendments provide obligations to keep records for GloBE top-up tax and </w:t>
      </w:r>
      <w:r w:rsidR="0034170C">
        <w:t xml:space="preserve">Domestic </w:t>
      </w:r>
      <w:r w:rsidR="00255390">
        <w:t>t</w:t>
      </w:r>
      <w:r w:rsidR="0034170C">
        <w:t xml:space="preserve">op-up </w:t>
      </w:r>
      <w:r w:rsidR="00255390">
        <w:t>t</w:t>
      </w:r>
      <w:r w:rsidR="0034170C">
        <w:t>ax</w:t>
      </w:r>
      <w:r>
        <w:t xml:space="preserve">. </w:t>
      </w:r>
    </w:p>
    <w:p w14:paraId="56CA8FD4" w14:textId="77777777" w:rsidR="005073A4" w:rsidRPr="00020288" w:rsidRDefault="005073A4" w:rsidP="005D0844">
      <w:pPr>
        <w:pStyle w:val="Heading2"/>
        <w:rPr>
          <w:rFonts w:hint="eastAsia"/>
        </w:rPr>
      </w:pPr>
      <w:bookmarkStart w:id="60" w:name="_Toc160722795"/>
      <w:r w:rsidRPr="00020288">
        <w:t xml:space="preserve">Summary of </w:t>
      </w:r>
      <w:r w:rsidRPr="005D0844">
        <w:t>new</w:t>
      </w:r>
      <w:r w:rsidRPr="00020288">
        <w:t xml:space="preserve"> law</w:t>
      </w:r>
      <w:bookmarkEnd w:id="60"/>
    </w:p>
    <w:p w14:paraId="7502DDF2" w14:textId="1CAFFF86" w:rsidR="00B818BF" w:rsidRDefault="00B818BF" w:rsidP="00B818BF">
      <w:pPr>
        <w:pStyle w:val="Normalparatextwithnumbers"/>
        <w:numPr>
          <w:ilvl w:val="1"/>
          <w:numId w:val="3"/>
        </w:numPr>
      </w:pPr>
      <w:r>
        <w:t xml:space="preserve">These consequential and miscellaneous amendments are necessary for the administration of </w:t>
      </w:r>
      <w:r w:rsidR="0098236F">
        <w:t xml:space="preserve">GloBE </w:t>
      </w:r>
      <w:r>
        <w:t>top-up tax</w:t>
      </w:r>
      <w:r w:rsidR="0098236F">
        <w:t xml:space="preserve"> and Domestic top-up tax</w:t>
      </w:r>
      <w:r>
        <w:t>.</w:t>
      </w:r>
    </w:p>
    <w:p w14:paraId="0A097FC8" w14:textId="77777777" w:rsidR="00B818BF" w:rsidRDefault="00B818BF" w:rsidP="00B818BF">
      <w:pPr>
        <w:pStyle w:val="Normalparatextwithnumbers"/>
        <w:numPr>
          <w:ilvl w:val="1"/>
          <w:numId w:val="3"/>
        </w:numPr>
      </w:pPr>
      <w:r>
        <w:t>To reduce the compliance burden on taxpayers, the amendments link into the existing administrative framework in the TAA 1953 with few modifications except as required to be consistent with the GloBE Rules.</w:t>
      </w:r>
    </w:p>
    <w:p w14:paraId="6691652A" w14:textId="77777777" w:rsidR="005073A4" w:rsidRPr="00020288" w:rsidRDefault="005073A4" w:rsidP="005073A4">
      <w:pPr>
        <w:pStyle w:val="Heading2"/>
        <w:numPr>
          <w:ilvl w:val="1"/>
          <w:numId w:val="2"/>
        </w:numPr>
        <w:tabs>
          <w:tab w:val="num" w:pos="567"/>
        </w:tabs>
        <w:ind w:left="567" w:hanging="567"/>
        <w:rPr>
          <w:rFonts w:hint="eastAsia"/>
        </w:rPr>
      </w:pPr>
      <w:bookmarkStart w:id="61" w:name="_Toc145343484"/>
      <w:bookmarkStart w:id="62" w:name="_Toc159602785"/>
      <w:bookmarkEnd w:id="59"/>
      <w:r w:rsidRPr="00020288">
        <w:lastRenderedPageBreak/>
        <w:t>Detailed explanation of new law</w:t>
      </w:r>
      <w:bookmarkEnd w:id="61"/>
      <w:bookmarkEnd w:id="62"/>
    </w:p>
    <w:p w14:paraId="72E2FA22" w14:textId="568F3F35" w:rsidR="00FB4A11" w:rsidRDefault="00FB4A11" w:rsidP="00FB4A11">
      <w:pPr>
        <w:pStyle w:val="Heading5"/>
        <w:numPr>
          <w:ilvl w:val="4"/>
          <w:numId w:val="2"/>
        </w:numPr>
      </w:pPr>
      <w:r>
        <w:t xml:space="preserve">General Administration of the </w:t>
      </w:r>
      <w:r w:rsidR="00E123F9">
        <w:t>Assessment Bill</w:t>
      </w:r>
    </w:p>
    <w:p w14:paraId="08A2F08D" w14:textId="027A38D5" w:rsidR="00FB4A11" w:rsidRPr="00020288" w:rsidRDefault="00FB4A11" w:rsidP="00FB4A11">
      <w:pPr>
        <w:pStyle w:val="Normalparatextwithnumbers"/>
        <w:numPr>
          <w:ilvl w:val="1"/>
          <w:numId w:val="3"/>
        </w:numPr>
      </w:pPr>
      <w:r>
        <w:t xml:space="preserve">The Commissioner has general administration of the </w:t>
      </w:r>
      <w:r w:rsidR="00E123F9">
        <w:t>Assessment Bill</w:t>
      </w:r>
      <w:r>
        <w:t xml:space="preserve">. This brings the </w:t>
      </w:r>
      <w:r w:rsidR="007844C8">
        <w:t xml:space="preserve">Assessment Bill </w:t>
      </w:r>
      <w:r>
        <w:t xml:space="preserve">within the definition of </w:t>
      </w:r>
      <w:r w:rsidRPr="00A74B8B">
        <w:rPr>
          <w:b/>
          <w:i/>
        </w:rPr>
        <w:t>taxation law</w:t>
      </w:r>
      <w:r>
        <w:t xml:space="preserve"> as defined in subsection 995-1(1) of the ITAA 1997 and consequently enlivens a number of provisions within the existing administrative framework used by the Commissioner in</w:t>
      </w:r>
      <w:r w:rsidDel="00250F2F">
        <w:t xml:space="preserve"> </w:t>
      </w:r>
      <w:r>
        <w:t xml:space="preserve">the administration of these taxation laws. </w:t>
      </w:r>
      <w:r>
        <w:br/>
      </w:r>
      <w:r w:rsidRPr="00B31029">
        <w:rPr>
          <w:rStyle w:val="References"/>
        </w:rPr>
        <w:t>[Schedule xx, item</w:t>
      </w:r>
      <w:r>
        <w:rPr>
          <w:rStyle w:val="References"/>
        </w:rPr>
        <w:t xml:space="preserve"> 27, subdivision 356-D in Schedule 1 to the TAA 1953</w:t>
      </w:r>
      <w:r w:rsidRPr="00B31029">
        <w:rPr>
          <w:rStyle w:val="References"/>
        </w:rPr>
        <w:t xml:space="preserve">] </w:t>
      </w:r>
    </w:p>
    <w:p w14:paraId="6DF310FC" w14:textId="46BEDA28" w:rsidR="00FB4A11" w:rsidRDefault="00FB4A11" w:rsidP="00FB4A11">
      <w:pPr>
        <w:pStyle w:val="Normalparatextwithnumbers"/>
        <w:numPr>
          <w:ilvl w:val="1"/>
          <w:numId w:val="3"/>
        </w:numPr>
      </w:pPr>
      <w:r>
        <w:t>As</w:t>
      </w:r>
      <w:r w:rsidDel="005011DD">
        <w:t xml:space="preserve"> </w:t>
      </w:r>
      <w:r>
        <w:t xml:space="preserve">the Assessment </w:t>
      </w:r>
      <w:r w:rsidR="004F5B1B">
        <w:t>Bill</w:t>
      </w:r>
      <w:r>
        <w:t xml:space="preserve"> is a taxation law,</w:t>
      </w:r>
      <w:r w:rsidDel="005011DD">
        <w:t xml:space="preserve"> </w:t>
      </w:r>
      <w:r>
        <w:t xml:space="preserve">several existing provisions of the TAA 1953 apply in relation to the Assessment </w:t>
      </w:r>
      <w:r w:rsidR="004F5B1B">
        <w:t>Bill</w:t>
      </w:r>
      <w:r>
        <w:t>, including provisions relating to information gathering and penalties.</w:t>
      </w:r>
    </w:p>
    <w:p w14:paraId="20DF837E" w14:textId="7D61195A" w:rsidR="00FB4A11" w:rsidRPr="00020288" w:rsidRDefault="00FB4A11" w:rsidP="00FB4A11">
      <w:pPr>
        <w:pStyle w:val="Normalparatextwithnumbers"/>
      </w:pPr>
      <w:r>
        <w:t xml:space="preserve">The Commissioner’s powers to obtain information and evidence in relation to a taxation law in Subdivision 353-A in Schedule 1 to the TAA 1953 apply in relation to the Assessment </w:t>
      </w:r>
      <w:r w:rsidR="004F5B1B">
        <w:t>Bill</w:t>
      </w:r>
      <w:r>
        <w:t>. This includes the Commissioner’s ability to exercise the powers in sections 353-10 and 353</w:t>
      </w:r>
      <w:r>
        <w:noBreakHyphen/>
        <w:t xml:space="preserve">15 to gather information for purposes connected with the Assessment </w:t>
      </w:r>
      <w:r w:rsidR="004F5B1B">
        <w:t>Bill</w:t>
      </w:r>
      <w:r>
        <w:t>.</w:t>
      </w:r>
    </w:p>
    <w:p w14:paraId="39C43AA3" w14:textId="7E2CC0B2" w:rsidR="00FB4A11" w:rsidRDefault="00FB4A11" w:rsidP="00FB4A11">
      <w:pPr>
        <w:pStyle w:val="Normalparatextwithnumbers"/>
      </w:pPr>
      <w:r>
        <w:t xml:space="preserve">Information gathered for purposes related to the Assessment </w:t>
      </w:r>
      <w:r w:rsidR="004F5B1B">
        <w:t>Bill</w:t>
      </w:r>
      <w:r>
        <w:t xml:space="preserve"> is </w:t>
      </w:r>
      <w:r>
        <w:rPr>
          <w:i/>
          <w:iCs/>
        </w:rPr>
        <w:t>protected information</w:t>
      </w:r>
      <w:r>
        <w:t xml:space="preserve"> as defined in section 355-30 in Schedule 1 to the TAA 1953. This</w:t>
      </w:r>
      <w:r w:rsidDel="001A3E51">
        <w:t xml:space="preserve"> </w:t>
      </w:r>
      <w:r>
        <w:t>ensures this information is covered by the secrecy provisions in Division 355 in Schedule 1 to the TAA 1953.</w:t>
      </w:r>
    </w:p>
    <w:p w14:paraId="380A4C18" w14:textId="69EDA7D3" w:rsidR="00FB4A11" w:rsidRDefault="00FB4A11" w:rsidP="00FB4A11">
      <w:pPr>
        <w:pStyle w:val="Normalparatextwithnumbers"/>
      </w:pPr>
      <w:r>
        <w:t>Administrative penalty provisions in</w:t>
      </w:r>
      <w:r w:rsidRPr="004B2A17">
        <w:t xml:space="preserve"> Schedule 1 to the TAA</w:t>
      </w:r>
      <w:r>
        <w:t> </w:t>
      </w:r>
      <w:r w:rsidRPr="004B2A17">
        <w:t>1953</w:t>
      </w:r>
      <w:r>
        <w:t xml:space="preserve"> which refer to a taxation law will apply in relation to the Assessment </w:t>
      </w:r>
      <w:r w:rsidR="004F5B1B">
        <w:t>Bill</w:t>
      </w:r>
      <w:r>
        <w:t>. These include penalties for making a false and misleading statement</w:t>
      </w:r>
      <w:r w:rsidDel="009D3FEC">
        <w:t xml:space="preserve"> </w:t>
      </w:r>
      <w:r>
        <w:t xml:space="preserve">under Subdivision 284-B and penalties for failing to lodge under Division 286. </w:t>
      </w:r>
    </w:p>
    <w:p w14:paraId="7E15F621" w14:textId="71B58533" w:rsidR="00FB4A11" w:rsidRDefault="00FB4A11" w:rsidP="00FB4A11">
      <w:pPr>
        <w:pStyle w:val="Normalparatextwithnumbers"/>
      </w:pPr>
      <w:r>
        <w:t xml:space="preserve">Where an administrative penalty is imposed under </w:t>
      </w:r>
      <w:r w:rsidRPr="004B2A17">
        <w:t>Part 4</w:t>
      </w:r>
      <w:r>
        <w:noBreakHyphen/>
      </w:r>
      <w:r w:rsidRPr="004B2A17">
        <w:t>25 of Schedule 1 to the TAA 1953</w:t>
      </w:r>
      <w:r>
        <w:t xml:space="preserve"> in relation to the Assessment </w:t>
      </w:r>
      <w:r w:rsidR="004F5B1B">
        <w:t>Bill</w:t>
      </w:r>
      <w:r>
        <w:t>, as part of the process of assessing the amount of the penalty, the Commissioner is required to determine if remission is appropriate under section 298-20 of Schedule 1 to the TAA 1953.</w:t>
      </w:r>
      <w:r w:rsidRPr="00C77681">
        <w:t xml:space="preserve"> </w:t>
      </w:r>
      <w:r>
        <w:t>Where a penalty is imposed, the taxpayer has objection rights in certain circumstances, consistent with subsection 298</w:t>
      </w:r>
      <w:r>
        <w:noBreakHyphen/>
        <w:t>20(2)</w:t>
      </w:r>
      <w:r w:rsidR="00975EC9">
        <w:t xml:space="preserve"> </w:t>
      </w:r>
      <w:r w:rsidR="00975EC9" w:rsidRPr="00975EC9">
        <w:t>of Schedule 1 to the TAA 1953</w:t>
      </w:r>
      <w:r>
        <w:t>.</w:t>
      </w:r>
    </w:p>
    <w:p w14:paraId="2B903FC8" w14:textId="0171A3C9" w:rsidR="00FB4A11" w:rsidRDefault="00FB4A11" w:rsidP="00FB4A11">
      <w:pPr>
        <w:pStyle w:val="Normalparatextwithnumbers"/>
      </w:pPr>
      <w:r>
        <w:t xml:space="preserve">Offences which refer to a taxation law also apply in relation to the Assessment </w:t>
      </w:r>
      <w:r w:rsidR="004F5B1B">
        <w:t>Bill</w:t>
      </w:r>
      <w:r>
        <w:t>.</w:t>
      </w:r>
    </w:p>
    <w:p w14:paraId="57EBB5CB" w14:textId="67FFAFBE" w:rsidR="00FB4A11" w:rsidRPr="00474CE3" w:rsidRDefault="00FB4A11" w:rsidP="00FB4A11">
      <w:pPr>
        <w:pStyle w:val="Normalparatextwithnumbers"/>
      </w:pPr>
      <w:r>
        <w:t xml:space="preserve">A liability </w:t>
      </w:r>
      <w:r w:rsidRPr="00474CE3">
        <w:t xml:space="preserve">raised under the </w:t>
      </w:r>
      <w:r>
        <w:t xml:space="preserve">Assessment </w:t>
      </w:r>
      <w:r w:rsidR="004F5B1B">
        <w:t>Bill</w:t>
      </w:r>
      <w:r>
        <w:t xml:space="preserve"> is</w:t>
      </w:r>
      <w:r w:rsidRPr="00474CE3">
        <w:t xml:space="preserve"> </w:t>
      </w:r>
      <w:r>
        <w:t>a</w:t>
      </w:r>
      <w:r w:rsidRPr="00474CE3">
        <w:t xml:space="preserve"> </w:t>
      </w:r>
      <w:r w:rsidRPr="00CA4907">
        <w:rPr>
          <w:b/>
          <w:bCs/>
          <w:i/>
          <w:iCs/>
        </w:rPr>
        <w:t>tax-related liability</w:t>
      </w:r>
      <w:r w:rsidRPr="00474CE3">
        <w:t xml:space="preserve"> </w:t>
      </w:r>
      <w:r>
        <w:t>within the definition in section 255-1 in Schedule 1 to the TAA. This ensures that:</w:t>
      </w:r>
    </w:p>
    <w:p w14:paraId="08AA1A4C" w14:textId="77777777" w:rsidR="00FB4A11" w:rsidRPr="00474CE3" w:rsidRDefault="00FB4A11" w:rsidP="00FB4A11">
      <w:pPr>
        <w:pStyle w:val="Dotpoint1"/>
        <w:ind w:left="1418" w:hanging="709"/>
      </w:pPr>
      <w:r>
        <w:t>the Commissioner can</w:t>
      </w:r>
      <w:r w:rsidDel="006B6879">
        <w:t xml:space="preserve"> </w:t>
      </w:r>
      <w:r>
        <w:t>recover debts arising from the non</w:t>
      </w:r>
      <w:r>
        <w:noBreakHyphen/>
        <w:t>payment of these liabilities;</w:t>
      </w:r>
    </w:p>
    <w:p w14:paraId="00BF7828" w14:textId="77777777" w:rsidR="00FB4A11" w:rsidRPr="00474CE3" w:rsidRDefault="00FB4A11" w:rsidP="00FB4A11">
      <w:pPr>
        <w:pStyle w:val="Dotpoint1"/>
        <w:ind w:left="1418" w:hanging="709"/>
      </w:pPr>
      <w:r>
        <w:lastRenderedPageBreak/>
        <w:t>the Commissioner can issue an offshore information notice under section 353-25 in Schedule 1 to the TAA to collect information relevant to the assessment of GloBE and Domestic top-up tax;</w:t>
      </w:r>
    </w:p>
    <w:p w14:paraId="4C713FE4" w14:textId="10F2538E" w:rsidR="00FB4A11" w:rsidRDefault="00FB4A11" w:rsidP="00FB4A11">
      <w:pPr>
        <w:pStyle w:val="Dotpoint1"/>
        <w:ind w:left="1418" w:hanging="709"/>
      </w:pPr>
      <w:r>
        <w:t xml:space="preserve">the penalties for failing to lodge a document necessary to determine a tax-related liability under subsection 284-75(3) </w:t>
      </w:r>
      <w:r w:rsidR="002B4842" w:rsidRPr="002B4842">
        <w:t>of Schedule 1 to the TAA 1953</w:t>
      </w:r>
      <w:r w:rsidR="002B4842">
        <w:t xml:space="preserve"> </w:t>
      </w:r>
      <w:r>
        <w:t>may apply; and</w:t>
      </w:r>
    </w:p>
    <w:p w14:paraId="2FACF1DC" w14:textId="77777777" w:rsidR="00FB4A11" w:rsidRPr="00474CE3" w:rsidRDefault="00FB4A11" w:rsidP="00FB4A11">
      <w:pPr>
        <w:pStyle w:val="Dotpoint1"/>
        <w:ind w:left="1418" w:hanging="709"/>
      </w:pPr>
      <w:r>
        <w:t>the Commissioner may allocate an entity’s liability for GloBE and Domestic top-up tax to the entity’s running balance account under Part IIB of the TAA 1953 so that any</w:t>
      </w:r>
      <w:r w:rsidDel="00914D53">
        <w:t xml:space="preserve"> </w:t>
      </w:r>
      <w:r>
        <w:t>available credit may</w:t>
      </w:r>
      <w:r w:rsidDel="00E6091D">
        <w:t xml:space="preserve"> </w:t>
      </w:r>
      <w:r>
        <w:t xml:space="preserve">offset these top-up tax liabilities. </w:t>
      </w:r>
    </w:p>
    <w:p w14:paraId="18C756AC" w14:textId="77777777" w:rsidR="00FB4A11" w:rsidRPr="00474CE3" w:rsidRDefault="00FB4A11" w:rsidP="00FB4A11">
      <w:pPr>
        <w:pStyle w:val="Heading5"/>
        <w:numPr>
          <w:ilvl w:val="4"/>
          <w:numId w:val="2"/>
        </w:numPr>
      </w:pPr>
      <w:r>
        <w:t>Returns</w:t>
      </w:r>
    </w:p>
    <w:p w14:paraId="3254BE7B" w14:textId="43C940E0" w:rsidR="00FB4A11" w:rsidRPr="00DC34CE" w:rsidRDefault="00FB4A11" w:rsidP="00FB4A11">
      <w:pPr>
        <w:pStyle w:val="Normalparatextwithnumbers"/>
      </w:pPr>
      <w:r>
        <w:t xml:space="preserve">The </w:t>
      </w:r>
      <w:r w:rsidR="00A53F49">
        <w:t>Consequential Bill</w:t>
      </w:r>
      <w:r>
        <w:t xml:space="preserve"> insert</w:t>
      </w:r>
      <w:r w:rsidR="00A53F49">
        <w:t>s</w:t>
      </w:r>
      <w:r>
        <w:t xml:space="preserve"> Division 127 </w:t>
      </w:r>
      <w:r w:rsidR="00A53F49">
        <w:t>in</w:t>
      </w:r>
      <w:r>
        <w:t xml:space="preserve"> Schedule 1 to the TAA 1953 to require the following returns to be given to the Commissioner:</w:t>
      </w:r>
    </w:p>
    <w:p w14:paraId="781C3EC9" w14:textId="77777777" w:rsidR="00FB4A11" w:rsidRDefault="00FB4A11" w:rsidP="00FB4A11">
      <w:pPr>
        <w:pStyle w:val="Dotpoint1"/>
        <w:ind w:left="1418" w:hanging="709"/>
      </w:pPr>
      <w:r>
        <w:t>A GloBE Information Return – an obligation to lodge this standardised return with the Commissioner is consistent with the GloBE Rules.</w:t>
      </w:r>
    </w:p>
    <w:p w14:paraId="6EA19782" w14:textId="77777777" w:rsidR="00FB4A11" w:rsidRDefault="00FB4A11" w:rsidP="00FB4A11">
      <w:pPr>
        <w:pStyle w:val="Dotpoint1"/>
        <w:ind w:left="1418" w:hanging="709"/>
      </w:pPr>
      <w:r>
        <w:t>An Australian GloBE Tax Return – this return supplements the GloBE Information Return and contains information for the purposes of administering the GloBE Rules to assess and collect IIR top-up tax and UTPR top-up tax.</w:t>
      </w:r>
    </w:p>
    <w:p w14:paraId="17EBA9B7" w14:textId="7E4E5C4E" w:rsidR="00FB4A11" w:rsidRDefault="00FB4A11" w:rsidP="00EE516D">
      <w:pPr>
        <w:pStyle w:val="Dotpoint1"/>
        <w:ind w:left="1418" w:hanging="709"/>
      </w:pPr>
      <w:r>
        <w:t>A DMT Return – this return supplements the GloBE Information Return and contains information for the purposes of administering the GloBE Rules to assess and collect Domestic top-up tax.</w:t>
      </w:r>
      <w:r w:rsidR="00EE516D">
        <w:br/>
      </w:r>
      <w:r w:rsidRPr="00EE516D">
        <w:rPr>
          <w:rStyle w:val="References"/>
        </w:rPr>
        <w:t>[Schedule xx, item 18, section 127-5, 127-10 and 127-15 in Schedule 1 to the TAA 1953]</w:t>
      </w:r>
      <w:r>
        <w:t xml:space="preserve"> </w:t>
      </w:r>
    </w:p>
    <w:p w14:paraId="46DA887A" w14:textId="77777777" w:rsidR="00FB4A11" w:rsidRPr="00854541" w:rsidRDefault="00FB4A11" w:rsidP="00FB4A11">
      <w:pPr>
        <w:pStyle w:val="Normalparatextwithnumbers"/>
      </w:pPr>
      <w:r w:rsidRPr="00854541">
        <w:t xml:space="preserve">The obligation to prepare a GloBE Information Return is separate from the requirement to declare and pay taxes for the purposes of assessment under a tax return. That is, a GloBE Information Return is not a tax return giving rise to assessment. The Australian GloBE Tax Return and DMT Return </w:t>
      </w:r>
      <w:r>
        <w:t>form the basis of the Commissioner’s assessment of GloBE and Domestic top-up tax respectively</w:t>
      </w:r>
      <w:r w:rsidRPr="00854541">
        <w:t>.</w:t>
      </w:r>
      <w:r>
        <w:br/>
      </w:r>
      <w:r w:rsidRPr="00694499">
        <w:rPr>
          <w:rStyle w:val="References"/>
        </w:rPr>
        <w:t>[Schedule xx,</w:t>
      </w:r>
      <w:r w:rsidRPr="00B9403D">
        <w:rPr>
          <w:rStyle w:val="References"/>
        </w:rPr>
        <w:t xml:space="preserve"> item 18, notes to subsections 127-5(1), 127-10(1) and 127</w:t>
      </w:r>
      <w:r w:rsidRPr="00B9403D">
        <w:rPr>
          <w:rStyle w:val="References"/>
        </w:rPr>
        <w:noBreakHyphen/>
        <w:t>15(1), section 127-10(3A) and 127-15(3A) in Schedule 1 to the TAA 1953</w:t>
      </w:r>
      <w:r w:rsidRPr="00694499">
        <w:rPr>
          <w:rStyle w:val="References"/>
        </w:rPr>
        <w:t xml:space="preserve">] </w:t>
      </w:r>
    </w:p>
    <w:p w14:paraId="48B29699" w14:textId="51526024" w:rsidR="00FB4A11" w:rsidRPr="000906B9" w:rsidRDefault="00FB4A11" w:rsidP="00FB4A11">
      <w:pPr>
        <w:pStyle w:val="Normalparatextwithnumbers"/>
        <w:rPr>
          <w:rStyle w:val="References"/>
          <w:b w:val="0"/>
          <w:bCs w:val="0"/>
          <w:i w:val="0"/>
          <w:iCs w:val="0"/>
        </w:rPr>
      </w:pPr>
      <w:r w:rsidRPr="00D55B74">
        <w:t xml:space="preserve">A Globe Information Return, Australian GloBE Tax Return and DMT Return </w:t>
      </w:r>
      <w:r>
        <w:t>must be lodged with the Commissioner in the approved form.</w:t>
      </w:r>
      <w:r w:rsidRPr="000801FA">
        <w:t xml:space="preserve"> </w:t>
      </w:r>
      <w:r>
        <w:t>The returns are to be lodged electronically.</w:t>
      </w:r>
      <w:r w:rsidRPr="00495A8E">
        <w:t xml:space="preserve"> </w:t>
      </w:r>
      <w:r>
        <w:t xml:space="preserve">As the Assessment </w:t>
      </w:r>
      <w:r w:rsidR="004F5B1B">
        <w:t>Bill</w:t>
      </w:r>
      <w:r>
        <w:t xml:space="preserve"> is a ‘taxation law’, an administrative penalty </w:t>
      </w:r>
      <w:r w:rsidRPr="00B9403D">
        <w:t xml:space="preserve">under section 286-75 </w:t>
      </w:r>
      <w:r>
        <w:t>in</w:t>
      </w:r>
      <w:r w:rsidRPr="00B9403D">
        <w:t xml:space="preserve"> Schedule 1 to the TAA 1953</w:t>
      </w:r>
      <w:r>
        <w:t xml:space="preserve"> applies for each return a Constituent Entity</w:t>
      </w:r>
      <w:r w:rsidRPr="00B9403D">
        <w:t xml:space="preserve"> fails to lodge</w:t>
      </w:r>
      <w:r>
        <w:t>.</w:t>
      </w:r>
      <w:r>
        <w:br/>
      </w:r>
      <w:r w:rsidRPr="00873AD0">
        <w:rPr>
          <w:rStyle w:val="References"/>
        </w:rPr>
        <w:t xml:space="preserve">[Schedule xx, </w:t>
      </w:r>
      <w:r>
        <w:rPr>
          <w:rStyle w:val="References"/>
        </w:rPr>
        <w:t>item 18</w:t>
      </w:r>
      <w:r w:rsidRPr="00873AD0">
        <w:rPr>
          <w:rStyle w:val="References"/>
        </w:rPr>
        <w:t xml:space="preserve">, </w:t>
      </w:r>
      <w:r>
        <w:rPr>
          <w:rStyle w:val="References"/>
        </w:rPr>
        <w:t>s</w:t>
      </w:r>
      <w:r w:rsidR="001573B1">
        <w:rPr>
          <w:rStyle w:val="References"/>
        </w:rPr>
        <w:t>ubs</w:t>
      </w:r>
      <w:r>
        <w:rPr>
          <w:rStyle w:val="References"/>
        </w:rPr>
        <w:t>ection</w:t>
      </w:r>
      <w:r w:rsidR="001573B1">
        <w:rPr>
          <w:rStyle w:val="References"/>
        </w:rPr>
        <w:t>s</w:t>
      </w:r>
      <w:r>
        <w:rPr>
          <w:rStyle w:val="References"/>
        </w:rPr>
        <w:t xml:space="preserve"> 127-5(2), 127-10(3) and 127-15(3) in Schedule </w:t>
      </w:r>
      <w:r w:rsidRPr="009A4117">
        <w:rPr>
          <w:rStyle w:val="References"/>
        </w:rPr>
        <w:t>1 to the TAA 1953</w:t>
      </w:r>
      <w:r w:rsidRPr="00873AD0">
        <w:rPr>
          <w:rStyle w:val="References"/>
        </w:rPr>
        <w:t xml:space="preserve">] </w:t>
      </w:r>
    </w:p>
    <w:p w14:paraId="0648431A" w14:textId="06985BA2" w:rsidR="00FB4A11" w:rsidRPr="00495A8E" w:rsidRDefault="00FB4A11" w:rsidP="00B0671E">
      <w:pPr>
        <w:pStyle w:val="Normalparatextwithnumbers"/>
        <w:ind w:hanging="567"/>
        <w:rPr>
          <w:rStyle w:val="References"/>
          <w:b w:val="0"/>
          <w:bCs w:val="0"/>
          <w:i w:val="0"/>
          <w:iCs w:val="0"/>
        </w:rPr>
      </w:pPr>
      <w:r>
        <w:lastRenderedPageBreak/>
        <w:t>The due date for lodgment of the returns is harmonised. The Australian GloBE Tax Return and the DMT Return are required to be lodged within the time that is specified for the lodgment of the Globe Information Return. This is consistent with</w:t>
      </w:r>
      <w:r w:rsidDel="0064069B">
        <w:t xml:space="preserve"> </w:t>
      </w:r>
      <w:r>
        <w:t xml:space="preserve">the GloBE Rules, which stipulate lodgment to be within 15 months after the end of every Fiscal Year, except for </w:t>
      </w:r>
      <w:r w:rsidDel="007F10AE">
        <w:t xml:space="preserve">the </w:t>
      </w:r>
      <w:r>
        <w:t>first Fiscal Year in which a jurisdiction’s domestic implementation of the</w:t>
      </w:r>
      <w:r w:rsidDel="00447843">
        <w:t xml:space="preserve"> </w:t>
      </w:r>
      <w:r>
        <w:t>GloBE Rules are applied by an Applicable MNE Group, where the return must be given within 18</w:t>
      </w:r>
      <w:r w:rsidR="00513117">
        <w:t> </w:t>
      </w:r>
      <w:r>
        <w:t>months after the end of the Fiscal Year.</w:t>
      </w:r>
      <w:r>
        <w:br/>
      </w:r>
      <w:r w:rsidRPr="008C66AB">
        <w:rPr>
          <w:rStyle w:val="References"/>
        </w:rPr>
        <w:t xml:space="preserve">[Schedule xx, </w:t>
      </w:r>
      <w:r>
        <w:rPr>
          <w:rStyle w:val="References"/>
        </w:rPr>
        <w:t>item 18</w:t>
      </w:r>
      <w:r w:rsidRPr="00873AD0">
        <w:rPr>
          <w:rStyle w:val="References"/>
        </w:rPr>
        <w:t xml:space="preserve">, </w:t>
      </w:r>
      <w:r>
        <w:rPr>
          <w:rStyle w:val="References"/>
        </w:rPr>
        <w:t>s</w:t>
      </w:r>
      <w:r w:rsidR="001573B1">
        <w:rPr>
          <w:rStyle w:val="References"/>
        </w:rPr>
        <w:t>ubs</w:t>
      </w:r>
      <w:r>
        <w:rPr>
          <w:rStyle w:val="References"/>
        </w:rPr>
        <w:t>ection</w:t>
      </w:r>
      <w:r w:rsidR="00E34DCA">
        <w:rPr>
          <w:rStyle w:val="References"/>
        </w:rPr>
        <w:t>s</w:t>
      </w:r>
      <w:r>
        <w:rPr>
          <w:rStyle w:val="References"/>
        </w:rPr>
        <w:t xml:space="preserve"> 127-20(1) and (2) in Schedule</w:t>
      </w:r>
      <w:r w:rsidRPr="009A4117">
        <w:rPr>
          <w:rStyle w:val="References"/>
        </w:rPr>
        <w:t xml:space="preserve"> 1 to the TAA 1953</w:t>
      </w:r>
      <w:r w:rsidRPr="008C66AB">
        <w:rPr>
          <w:rStyle w:val="References"/>
        </w:rPr>
        <w:t xml:space="preserve">] </w:t>
      </w:r>
    </w:p>
    <w:p w14:paraId="1D42F5EB" w14:textId="261EB680" w:rsidR="00FB4A11" w:rsidRPr="00FD7DE0" w:rsidRDefault="00FB4A11" w:rsidP="00B0671E">
      <w:pPr>
        <w:pStyle w:val="Normalparatextwithnumbers"/>
        <w:ind w:hanging="567"/>
        <w:rPr>
          <w:rStyle w:val="References"/>
          <w:b w:val="0"/>
          <w:bCs w:val="0"/>
          <w:i w:val="0"/>
          <w:iCs w:val="0"/>
        </w:rPr>
      </w:pPr>
      <w:r>
        <w:rPr>
          <w:rStyle w:val="References"/>
          <w:b w:val="0"/>
          <w:bCs w:val="0"/>
          <w:i w:val="0"/>
          <w:iCs w:val="0"/>
        </w:rPr>
        <w:t xml:space="preserve">A transitional provision provides for short Reporting Fiscal Years. Where any of the three returns are required to be given to the Commissioner at a time before 30 June 2026, such returns are instead required to be given to the Commissioner no later than 30 June 2026. That is, the due date for lodgment is extended to 30 June 2026. </w:t>
      </w:r>
      <w:r>
        <w:rPr>
          <w:rStyle w:val="References"/>
          <w:b w:val="0"/>
          <w:bCs w:val="0"/>
          <w:i w:val="0"/>
          <w:iCs w:val="0"/>
        </w:rPr>
        <w:br/>
      </w:r>
      <w:r w:rsidRPr="000A56EA">
        <w:rPr>
          <w:rStyle w:val="References"/>
        </w:rPr>
        <w:t>[</w:t>
      </w:r>
      <w:r w:rsidRPr="001D0BCC">
        <w:rPr>
          <w:rStyle w:val="References"/>
        </w:rPr>
        <w:t>Schedule xx, item 18A</w:t>
      </w:r>
      <w:r w:rsidR="00735589">
        <w:rPr>
          <w:rStyle w:val="References"/>
        </w:rPr>
        <w:t xml:space="preserve"> of the Consequential Bill</w:t>
      </w:r>
      <w:r w:rsidRPr="000A56EA">
        <w:rPr>
          <w:rStyle w:val="References"/>
        </w:rPr>
        <w:t xml:space="preserve">] </w:t>
      </w:r>
    </w:p>
    <w:p w14:paraId="2CE0F810" w14:textId="552875D1" w:rsidR="00FB4A11" w:rsidRPr="005657DA" w:rsidRDefault="00FB4A11" w:rsidP="00B0671E">
      <w:pPr>
        <w:pStyle w:val="Normalparatextwithnumbers"/>
        <w:ind w:hanging="567"/>
        <w:rPr>
          <w:rStyle w:val="References"/>
          <w:b w:val="0"/>
          <w:bCs w:val="0"/>
          <w:i w:val="0"/>
          <w:iCs w:val="0"/>
        </w:rPr>
      </w:pPr>
      <w:r>
        <w:t xml:space="preserve">The Commissioner does not have discretion to defer time for lodgment of the GloBE Information Return, to be consistent with the due date for filing under the GloBE Rules. The Commissioner may defer the time for lodgment of the Australian GloBE Tax Return and DMT Return. </w:t>
      </w:r>
      <w:r>
        <w:br/>
      </w:r>
      <w:r w:rsidRPr="00B20221">
        <w:rPr>
          <w:rStyle w:val="References"/>
        </w:rPr>
        <w:t>[Schedule xx, item</w:t>
      </w:r>
      <w:r>
        <w:rPr>
          <w:rStyle w:val="References"/>
        </w:rPr>
        <w:t xml:space="preserve"> 18</w:t>
      </w:r>
      <w:r w:rsidRPr="00873AD0">
        <w:rPr>
          <w:rStyle w:val="References"/>
        </w:rPr>
        <w:t xml:space="preserve">, </w:t>
      </w:r>
      <w:r>
        <w:rPr>
          <w:rStyle w:val="References"/>
        </w:rPr>
        <w:t>s</w:t>
      </w:r>
      <w:r w:rsidR="001573B1">
        <w:rPr>
          <w:rStyle w:val="References"/>
        </w:rPr>
        <w:t>ubs</w:t>
      </w:r>
      <w:r>
        <w:rPr>
          <w:rStyle w:val="References"/>
        </w:rPr>
        <w:t>ection 127-20(3) in Schedule</w:t>
      </w:r>
      <w:r w:rsidRPr="009A4117">
        <w:rPr>
          <w:rStyle w:val="References"/>
        </w:rPr>
        <w:t xml:space="preserve"> 1 to the TAA 1953</w:t>
      </w:r>
      <w:r w:rsidRPr="00B20221">
        <w:rPr>
          <w:rStyle w:val="References"/>
        </w:rPr>
        <w:t xml:space="preserve">] </w:t>
      </w:r>
    </w:p>
    <w:p w14:paraId="4D99406C" w14:textId="77777777" w:rsidR="00FB4A11" w:rsidRPr="00642EC1" w:rsidRDefault="00FB4A11" w:rsidP="00B0671E">
      <w:pPr>
        <w:pStyle w:val="Normalparatextwithnumbers"/>
        <w:ind w:hanging="567"/>
        <w:rPr>
          <w:rStyle w:val="References"/>
          <w:b w:val="0"/>
          <w:bCs w:val="0"/>
          <w:i w:val="0"/>
          <w:iCs w:val="0"/>
        </w:rPr>
      </w:pPr>
      <w:r>
        <w:rPr>
          <w:rStyle w:val="References"/>
          <w:b w:val="0"/>
          <w:bCs w:val="0"/>
          <w:i w:val="0"/>
          <w:iCs w:val="0"/>
        </w:rPr>
        <w:t xml:space="preserve">If a Constituent Entity is a Permanent Establishment, the Main Entity in relation to that Permanent Establishment is required to give to the </w:t>
      </w:r>
      <w:r>
        <w:t xml:space="preserve">Commissioner a GloBE Information Return, an Australian GloBE Tax Return and a DMT Return in respect of that Permanent Establishment. </w:t>
      </w:r>
      <w:r>
        <w:br/>
      </w:r>
      <w:r w:rsidRPr="009B4F86">
        <w:rPr>
          <w:rStyle w:val="References"/>
        </w:rPr>
        <w:t xml:space="preserve">[Schedule xx, </w:t>
      </w:r>
      <w:r w:rsidRPr="00B20221">
        <w:rPr>
          <w:rStyle w:val="References"/>
        </w:rPr>
        <w:t>item</w:t>
      </w:r>
      <w:r>
        <w:rPr>
          <w:rStyle w:val="References"/>
        </w:rPr>
        <w:t xml:space="preserve"> 18</w:t>
      </w:r>
      <w:r w:rsidRPr="00873AD0">
        <w:rPr>
          <w:rStyle w:val="References"/>
        </w:rPr>
        <w:t xml:space="preserve">, </w:t>
      </w:r>
      <w:r>
        <w:rPr>
          <w:rStyle w:val="References"/>
        </w:rPr>
        <w:t>section 127-25 in Schedule</w:t>
      </w:r>
      <w:r w:rsidRPr="009A4117">
        <w:rPr>
          <w:rStyle w:val="References"/>
        </w:rPr>
        <w:t xml:space="preserve"> 1 to the TAA 1953</w:t>
      </w:r>
      <w:r w:rsidRPr="009B4F86">
        <w:rPr>
          <w:rStyle w:val="References"/>
        </w:rPr>
        <w:t xml:space="preserve">] </w:t>
      </w:r>
    </w:p>
    <w:p w14:paraId="0B495B6F" w14:textId="77777777" w:rsidR="00FB4A11" w:rsidRDefault="00FB4A11" w:rsidP="00FB4A11">
      <w:pPr>
        <w:pStyle w:val="Heading5"/>
        <w:numPr>
          <w:ilvl w:val="4"/>
          <w:numId w:val="2"/>
        </w:numPr>
      </w:pPr>
      <w:r>
        <w:t>GloBE Information Return</w:t>
      </w:r>
    </w:p>
    <w:p w14:paraId="18456FE4" w14:textId="77777777" w:rsidR="00FB4A11" w:rsidRDefault="00FB4A11" w:rsidP="00B0671E">
      <w:pPr>
        <w:pStyle w:val="Normalparatextwithnumbers"/>
        <w:ind w:hanging="567"/>
      </w:pPr>
      <w:r>
        <w:t>The GloBE Information Return is a standardised form that provides each jurisdiction’s tax administration with the information required to assess an entity’s tax liability consistent with</w:t>
      </w:r>
      <w:r w:rsidDel="00BE5BBD">
        <w:t xml:space="preserve"> </w:t>
      </w:r>
      <w:r>
        <w:t>the GloBE Rules. It is in accordance with the standardised return developed in accordance with the GloBE Implementation Framework. Currently, that return is the standardised return published by the OECD on 17 July 2023. In this way, the GloBE Information Return is consistent for information reporting requirements across implementing jurisdictions.</w:t>
      </w:r>
    </w:p>
    <w:p w14:paraId="3AE24B01" w14:textId="77777777" w:rsidR="00FB4A11" w:rsidRDefault="00FB4A11" w:rsidP="00B0671E">
      <w:pPr>
        <w:pStyle w:val="Normalparatextwithnumbers"/>
        <w:ind w:hanging="567"/>
      </w:pPr>
      <w:r>
        <w:t xml:space="preserve">As set out in the GloBE Rules, is intended that the GloBE Information Return captures general information, corporate structure, the ETR computation, computation and allocation of top-up tax liabilities and any elections made for the relevant Fiscal Year, subject to the dissemination approach for the GloBE Information Return detailed in the </w:t>
      </w:r>
      <w:r w:rsidRPr="00FA5CA6">
        <w:t>standardised return published by the OECD on 17 July 2023</w:t>
      </w:r>
      <w:r>
        <w:t xml:space="preserve">. </w:t>
      </w:r>
    </w:p>
    <w:p w14:paraId="166442A7" w14:textId="77777777" w:rsidR="00FB4A11" w:rsidRDefault="00FB4A11" w:rsidP="00B0671E">
      <w:pPr>
        <w:pStyle w:val="Normalparatextwithnumbers"/>
        <w:ind w:hanging="567"/>
      </w:pPr>
      <w:r>
        <w:lastRenderedPageBreak/>
        <w:t>Each Constituent Entity of</w:t>
      </w:r>
      <w:r w:rsidDel="009B3743">
        <w:t xml:space="preserve"> </w:t>
      </w:r>
      <w:r>
        <w:t>an Applicable MNE Group that is located in Australia at the start of the Fiscal Year must lodge a GloBE Information Return that is in accordance with the GloBE Implementation Framework and includes the following information:</w:t>
      </w:r>
    </w:p>
    <w:p w14:paraId="1F5DB99E" w14:textId="77777777" w:rsidR="00FB4A11" w:rsidRDefault="00FB4A11" w:rsidP="00FB4A11">
      <w:pPr>
        <w:pStyle w:val="Dotpoint1"/>
        <w:ind w:left="1418" w:hanging="709"/>
      </w:pPr>
      <w:r>
        <w:t>identification number of the Constituent Entity;</w:t>
      </w:r>
    </w:p>
    <w:p w14:paraId="69A697AC" w14:textId="77777777" w:rsidR="00FB4A11" w:rsidRDefault="00FB4A11" w:rsidP="00FB4A11">
      <w:pPr>
        <w:pStyle w:val="Dotpoint1"/>
        <w:ind w:left="1418" w:hanging="709"/>
      </w:pPr>
      <w:r>
        <w:t xml:space="preserve">location of the Constituent Entity; </w:t>
      </w:r>
    </w:p>
    <w:p w14:paraId="371580F2" w14:textId="77777777" w:rsidR="00FB4A11" w:rsidRDefault="00FB4A11" w:rsidP="00FB4A11">
      <w:pPr>
        <w:pStyle w:val="Dotpoint1"/>
        <w:ind w:left="1418" w:hanging="709"/>
      </w:pPr>
      <w:r>
        <w:t xml:space="preserve">status of the Constituent Entity under GloBE rules; </w:t>
      </w:r>
    </w:p>
    <w:p w14:paraId="4F008720" w14:textId="77777777" w:rsidR="00FB4A11" w:rsidRDefault="00FB4A11" w:rsidP="00FB4A11">
      <w:pPr>
        <w:pStyle w:val="Dotpoint1"/>
        <w:ind w:left="1418" w:hanging="709"/>
      </w:pPr>
      <w:r>
        <w:t xml:space="preserve">information on the overall corporate structure of the group including controlling interests; </w:t>
      </w:r>
    </w:p>
    <w:p w14:paraId="624CADD7" w14:textId="77777777" w:rsidR="00FB4A11" w:rsidRDefault="00FB4A11" w:rsidP="00FB4A11">
      <w:pPr>
        <w:pStyle w:val="Dotpoint1"/>
        <w:ind w:left="1418" w:hanging="709"/>
      </w:pPr>
      <w:r>
        <w:t>all information relevant to the determination of the following in relation to the Applicable MNE Group:</w:t>
      </w:r>
    </w:p>
    <w:p w14:paraId="32B5FB6E" w14:textId="77777777" w:rsidR="00FB4A11" w:rsidRDefault="00FB4A11" w:rsidP="00FB4A11">
      <w:pPr>
        <w:pStyle w:val="dotpoint2"/>
      </w:pPr>
      <w:r>
        <w:t xml:space="preserve">ETR for each jurisdiction </w:t>
      </w:r>
    </w:p>
    <w:p w14:paraId="0A7B7B23" w14:textId="77777777" w:rsidR="00FB4A11" w:rsidRDefault="00FB4A11" w:rsidP="00FB4A11">
      <w:pPr>
        <w:pStyle w:val="dotpoint2"/>
      </w:pPr>
      <w:r>
        <w:t>top-up tax of each Constituent Entity</w:t>
      </w:r>
    </w:p>
    <w:p w14:paraId="3E2FAED4" w14:textId="77777777" w:rsidR="00FB4A11" w:rsidRDefault="00FB4A11" w:rsidP="00FB4A11">
      <w:pPr>
        <w:pStyle w:val="dotpoint2"/>
      </w:pPr>
      <w:r>
        <w:t xml:space="preserve">top-up-tax of a member of the JV Group (under Chapter 6); and </w:t>
      </w:r>
    </w:p>
    <w:p w14:paraId="4652CEEF" w14:textId="77777777" w:rsidR="00FB4A11" w:rsidRDefault="00FB4A11" w:rsidP="00FB4A11">
      <w:pPr>
        <w:pStyle w:val="dotpoint2"/>
      </w:pPr>
      <w:r>
        <w:t>allocation of top-up-tax for each for the Fiscal Year (under Chapter 2);</w:t>
      </w:r>
    </w:p>
    <w:p w14:paraId="71D99172" w14:textId="77777777" w:rsidR="00FB4A11" w:rsidRDefault="00FB4A11" w:rsidP="00FB4A11">
      <w:pPr>
        <w:pStyle w:val="Dotpoint1"/>
        <w:ind w:left="1418" w:hanging="709"/>
      </w:pPr>
      <w:r>
        <w:t>annual elections, five year elections and other elections made under the relevant provisions; and</w:t>
      </w:r>
    </w:p>
    <w:p w14:paraId="42ADAE76" w14:textId="21FBA18A" w:rsidR="00FB4A11" w:rsidRPr="00EB58B0" w:rsidRDefault="00FB4A11" w:rsidP="00FB4A11">
      <w:pPr>
        <w:pStyle w:val="Dotpoint1"/>
        <w:ind w:left="1418" w:hanging="709"/>
        <w:rPr>
          <w:rStyle w:val="References"/>
          <w:b w:val="0"/>
          <w:bCs w:val="0"/>
          <w:i w:val="0"/>
          <w:iCs w:val="0"/>
        </w:rPr>
      </w:pPr>
      <w:r>
        <w:t xml:space="preserve">other relevant information agreed as part of the GloBE Implementation Framework and is necessary to carry out the administration of the GloBE Rules. </w:t>
      </w:r>
      <w:r>
        <w:br/>
      </w:r>
      <w:r w:rsidRPr="006A605D">
        <w:rPr>
          <w:rStyle w:val="References"/>
        </w:rPr>
        <w:t>[</w:t>
      </w:r>
      <w:r>
        <w:rPr>
          <w:rStyle w:val="References"/>
        </w:rPr>
        <w:t xml:space="preserve">Schedule xx, </w:t>
      </w:r>
      <w:r w:rsidRPr="00B20221">
        <w:rPr>
          <w:rStyle w:val="References"/>
        </w:rPr>
        <w:t>item</w:t>
      </w:r>
      <w:r>
        <w:rPr>
          <w:rStyle w:val="References"/>
        </w:rPr>
        <w:t xml:space="preserve"> 18</w:t>
      </w:r>
      <w:r w:rsidRPr="00873AD0">
        <w:rPr>
          <w:rStyle w:val="References"/>
        </w:rPr>
        <w:t xml:space="preserve">, </w:t>
      </w:r>
      <w:r w:rsidR="004E1382">
        <w:rPr>
          <w:rStyle w:val="References"/>
        </w:rPr>
        <w:t>subsection</w:t>
      </w:r>
      <w:r>
        <w:rPr>
          <w:rStyle w:val="References"/>
        </w:rPr>
        <w:t xml:space="preserve"> 127-5(3)(b) in Schedule</w:t>
      </w:r>
      <w:r w:rsidRPr="009A4117">
        <w:rPr>
          <w:rStyle w:val="References"/>
        </w:rPr>
        <w:t xml:space="preserve"> 1 to the TAA 1953</w:t>
      </w:r>
      <w:r w:rsidRPr="006A605D">
        <w:rPr>
          <w:rStyle w:val="References"/>
        </w:rPr>
        <w:t>]</w:t>
      </w:r>
    </w:p>
    <w:p w14:paraId="1C0ABC03" w14:textId="5B4ECC13" w:rsidR="00FB4A11" w:rsidRPr="008B2A25" w:rsidRDefault="00FB4A11" w:rsidP="00B0671E">
      <w:pPr>
        <w:pStyle w:val="Normalparatextwithnumbers"/>
        <w:tabs>
          <w:tab w:val="left" w:pos="709"/>
        </w:tabs>
        <w:ind w:hanging="567"/>
        <w:rPr>
          <w:rStyle w:val="References"/>
          <w:b w:val="0"/>
          <w:bCs w:val="0"/>
          <w:i w:val="0"/>
          <w:iCs w:val="0"/>
        </w:rPr>
      </w:pPr>
      <w:r>
        <w:t>A Constituent Entity is required to give a GloBE Information Return to the Commissioner even if the amount of GloBE top-up tax or Domestic top-up tax the Constituent Entity is liable to pay is nil.</w:t>
      </w:r>
      <w:r>
        <w:br/>
      </w:r>
      <w:r w:rsidRPr="00D42D5F">
        <w:rPr>
          <w:rStyle w:val="References"/>
        </w:rPr>
        <w:t xml:space="preserve">[Schedule xx, </w:t>
      </w:r>
      <w:r>
        <w:rPr>
          <w:rStyle w:val="References"/>
        </w:rPr>
        <w:t>item 18, subsection 127-5(1) in Schedule 1 to the TAA 1953</w:t>
      </w:r>
      <w:r w:rsidRPr="00D42D5F">
        <w:rPr>
          <w:rStyle w:val="References"/>
        </w:rPr>
        <w:t xml:space="preserve">] </w:t>
      </w:r>
    </w:p>
    <w:p w14:paraId="62DB7C14" w14:textId="5CECA972" w:rsidR="00FB4A11" w:rsidRDefault="00FB4A11" w:rsidP="00B0671E">
      <w:pPr>
        <w:pStyle w:val="Normalparatextwithnumbers"/>
        <w:tabs>
          <w:tab w:val="left" w:pos="709"/>
        </w:tabs>
        <w:ind w:hanging="567"/>
      </w:pPr>
      <w:r>
        <w:t xml:space="preserve">The </w:t>
      </w:r>
      <w:r w:rsidRPr="006A4F0D">
        <w:t>G</w:t>
      </w:r>
      <w:r w:rsidR="00D33899">
        <w:t>l</w:t>
      </w:r>
      <w:r w:rsidRPr="006A4F0D">
        <w:t xml:space="preserve">oBE Information Return </w:t>
      </w:r>
      <w:r>
        <w:t>must</w:t>
      </w:r>
      <w:r w:rsidRPr="006A4F0D">
        <w:t xml:space="preserve"> </w:t>
      </w:r>
      <w:r>
        <w:t xml:space="preserve">be </w:t>
      </w:r>
      <w:r w:rsidRPr="006A4F0D">
        <w:t>in the approved form</w:t>
      </w:r>
      <w:r>
        <w:t>, which must r</w:t>
      </w:r>
      <w:r w:rsidRPr="006A4F0D">
        <w:t xml:space="preserve">eflect any amendments </w:t>
      </w:r>
      <w:r>
        <w:t xml:space="preserve">to the standardised form made </w:t>
      </w:r>
      <w:r w:rsidRPr="006A4F0D">
        <w:t>by the G</w:t>
      </w:r>
      <w:r>
        <w:t>l</w:t>
      </w:r>
      <w:r w:rsidRPr="006A4F0D">
        <w:t xml:space="preserve">oBE </w:t>
      </w:r>
      <w:r>
        <w:t>I</w:t>
      </w:r>
      <w:r w:rsidRPr="006A4F0D">
        <w:t xml:space="preserve">mplementation </w:t>
      </w:r>
      <w:r>
        <w:t>F</w:t>
      </w:r>
      <w:r w:rsidRPr="006A4F0D">
        <w:t xml:space="preserve">ramework. </w:t>
      </w:r>
      <w:r>
        <w:br/>
      </w:r>
      <w:r w:rsidRPr="008B2A25">
        <w:rPr>
          <w:rStyle w:val="References"/>
        </w:rPr>
        <w:t xml:space="preserve">[Schedule xx, </w:t>
      </w:r>
      <w:r>
        <w:rPr>
          <w:rStyle w:val="References"/>
        </w:rPr>
        <w:t>item 18, subsections 127-5(2) and (3) in Schedule 1 to the TAA 1953</w:t>
      </w:r>
      <w:r w:rsidRPr="008B2A25">
        <w:rPr>
          <w:rStyle w:val="References"/>
        </w:rPr>
        <w:t xml:space="preserve">] </w:t>
      </w:r>
    </w:p>
    <w:p w14:paraId="193405ED" w14:textId="77777777" w:rsidR="00FB4A11" w:rsidRDefault="00FB4A11" w:rsidP="00B0671E">
      <w:pPr>
        <w:pStyle w:val="Normalparatextwithnumbers"/>
        <w:tabs>
          <w:tab w:val="left" w:pos="709"/>
        </w:tabs>
        <w:ind w:hanging="567"/>
      </w:pPr>
      <w:r>
        <w:t xml:space="preserve">Entities that are excluded from applying the GloBE Rules generally have no administrative obligations, however, to the extent that such excluded entities form part of an MNE group, those entities must be identified as part of the overall corporate structure of the Applicable MNE Group. </w:t>
      </w:r>
    </w:p>
    <w:p w14:paraId="7BD415D5" w14:textId="6B039197" w:rsidR="00FB4A11" w:rsidRPr="002D33CA" w:rsidRDefault="00FB4A11" w:rsidP="00B0671E">
      <w:pPr>
        <w:pStyle w:val="Normalparatextwithnumbers"/>
        <w:ind w:hanging="567"/>
        <w:rPr>
          <w:rStyle w:val="References"/>
          <w:b w:val="0"/>
          <w:bCs w:val="0"/>
          <w:i w:val="0"/>
          <w:iCs w:val="0"/>
        </w:rPr>
      </w:pPr>
      <w:r>
        <w:t xml:space="preserve">A Constituent Entity’s obligation to lodge a GloBE Information Return is met if the </w:t>
      </w:r>
      <w:r w:rsidRPr="002A057E">
        <w:rPr>
          <w:b/>
          <w:bCs/>
          <w:i/>
          <w:iCs/>
        </w:rPr>
        <w:t xml:space="preserve">Designated </w:t>
      </w:r>
      <w:r>
        <w:rPr>
          <w:b/>
          <w:bCs/>
          <w:i/>
          <w:iCs/>
        </w:rPr>
        <w:t>Filing</w:t>
      </w:r>
      <w:r w:rsidRPr="002A057E">
        <w:rPr>
          <w:b/>
          <w:bCs/>
          <w:i/>
          <w:iCs/>
        </w:rPr>
        <w:t xml:space="preserve"> Entity</w:t>
      </w:r>
      <w:r>
        <w:t xml:space="preserve"> has lodged the GloBE Information Return on behalf of the Applicable MNE Group. The Constituent Entity is taken to give </w:t>
      </w:r>
      <w:r>
        <w:lastRenderedPageBreak/>
        <w:t xml:space="preserve">the GloBE Information Return to the Commissioner at the time the Designated Filing Entity gives it to the Commissioner. </w:t>
      </w:r>
      <w:r>
        <w:br/>
      </w:r>
      <w:r w:rsidRPr="00312AC1">
        <w:rPr>
          <w:rStyle w:val="References"/>
        </w:rPr>
        <w:t xml:space="preserve">[Schedule xx, </w:t>
      </w:r>
      <w:r w:rsidRPr="00B20221">
        <w:rPr>
          <w:rStyle w:val="References"/>
        </w:rPr>
        <w:t>item</w:t>
      </w:r>
      <w:r>
        <w:rPr>
          <w:rStyle w:val="References"/>
        </w:rPr>
        <w:t xml:space="preserve"> 18</w:t>
      </w:r>
      <w:r w:rsidRPr="00873AD0">
        <w:rPr>
          <w:rStyle w:val="References"/>
        </w:rPr>
        <w:t xml:space="preserve">, </w:t>
      </w:r>
      <w:r>
        <w:rPr>
          <w:rStyle w:val="References"/>
        </w:rPr>
        <w:t>subsections 127-5(4) and (</w:t>
      </w:r>
      <w:r w:rsidR="00310B17">
        <w:rPr>
          <w:rStyle w:val="References"/>
        </w:rPr>
        <w:t>5</w:t>
      </w:r>
      <w:r>
        <w:rPr>
          <w:rStyle w:val="References"/>
        </w:rPr>
        <w:t>) in Schedule</w:t>
      </w:r>
      <w:r w:rsidRPr="009A4117">
        <w:rPr>
          <w:rStyle w:val="References"/>
        </w:rPr>
        <w:t xml:space="preserve"> 1 to the TAA 1953</w:t>
      </w:r>
      <w:r w:rsidRPr="00312AC1">
        <w:rPr>
          <w:rStyle w:val="References"/>
        </w:rPr>
        <w:t xml:space="preserve">] </w:t>
      </w:r>
    </w:p>
    <w:p w14:paraId="12568A30" w14:textId="17C0ACA5" w:rsidR="00FB4A11" w:rsidRDefault="00FB4A11" w:rsidP="00B0671E">
      <w:pPr>
        <w:pStyle w:val="Normalparatextwithnumbers"/>
        <w:ind w:hanging="567"/>
      </w:pPr>
      <w:r w:rsidRPr="00EF2C12">
        <w:t>A</w:t>
      </w:r>
      <w:r>
        <w:t xml:space="preserve"> Constituent Entity’s</w:t>
      </w:r>
      <w:r w:rsidRPr="00EF2C12">
        <w:t xml:space="preserve"> obligation to lodge </w:t>
      </w:r>
      <w:r>
        <w:t xml:space="preserve">a GloBE Information Return </w:t>
      </w:r>
      <w:r w:rsidRPr="00EF2C12">
        <w:t xml:space="preserve">is met if the </w:t>
      </w:r>
      <w:r w:rsidRPr="008418D9">
        <w:rPr>
          <w:b/>
          <w:bCs/>
          <w:i/>
          <w:iCs/>
        </w:rPr>
        <w:t>UPE</w:t>
      </w:r>
      <w:r>
        <w:t xml:space="preserve"> or a </w:t>
      </w:r>
      <w:r>
        <w:rPr>
          <w:b/>
          <w:bCs/>
          <w:i/>
          <w:iCs/>
        </w:rPr>
        <w:t>Designated F</w:t>
      </w:r>
      <w:r w:rsidRPr="008418D9">
        <w:rPr>
          <w:b/>
          <w:bCs/>
          <w:i/>
          <w:iCs/>
        </w:rPr>
        <w:t>iling</w:t>
      </w:r>
      <w:r>
        <w:rPr>
          <w:b/>
          <w:bCs/>
          <w:i/>
          <w:iCs/>
        </w:rPr>
        <w:t xml:space="preserve"> Entity</w:t>
      </w:r>
      <w:r>
        <w:t xml:space="preserve"> in a foreign jurisdiction </w:t>
      </w:r>
      <w:r w:rsidRPr="00EF2C12">
        <w:t xml:space="preserve">has </w:t>
      </w:r>
      <w:r>
        <w:t>lodged</w:t>
      </w:r>
      <w:r w:rsidRPr="00EF2C12">
        <w:t xml:space="preserve"> </w:t>
      </w:r>
      <w:r>
        <w:t xml:space="preserve">the GloBE Information Return in a foreign jurisdiction that has a </w:t>
      </w:r>
      <w:r w:rsidRPr="0062589C">
        <w:t>Qualifying Competent Authority Agreement with Australia</w:t>
      </w:r>
      <w:r>
        <w:t xml:space="preserve"> within 15 months of the end of the Fiscal Year (or within 18 months of the end of the first Fiscal Year that the GloBE Rules apply for an Applicable MNE Group).</w:t>
      </w:r>
      <w:r w:rsidRPr="00986B7D">
        <w:t xml:space="preserve"> </w:t>
      </w:r>
      <w:r w:rsidRPr="00807F08">
        <w:t>If that return is lodged in a foreign jurisdiction after that time, the</w:t>
      </w:r>
      <w:r>
        <w:t xml:space="preserve"> Constituent Entity </w:t>
      </w:r>
      <w:r w:rsidRPr="00807F08">
        <w:t xml:space="preserve">will not have been taken to have met its Australian </w:t>
      </w:r>
      <w:r>
        <w:t>lodgment</w:t>
      </w:r>
      <w:r w:rsidRPr="00807F08">
        <w:t xml:space="preserve"> obligation and will be required to lodge in Australia. </w:t>
      </w:r>
      <w:r>
        <w:t xml:space="preserve">Penalties for failing to </w:t>
      </w:r>
      <w:r w:rsidRPr="00807F08">
        <w:t>lodge</w:t>
      </w:r>
      <w:r>
        <w:t xml:space="preserve"> the return</w:t>
      </w:r>
      <w:r w:rsidRPr="00807F08">
        <w:t xml:space="preserve"> under Subdivision 286-C of Sch</w:t>
      </w:r>
      <w:r>
        <w:t>edule</w:t>
      </w:r>
      <w:r w:rsidRPr="00807F08">
        <w:t xml:space="preserve"> 1 to the TAA 1953 can apply in such scenarios</w:t>
      </w:r>
      <w:r>
        <w:t xml:space="preserve">. </w:t>
      </w:r>
      <w:r>
        <w:br/>
      </w:r>
      <w:r w:rsidRPr="00AD24E3">
        <w:rPr>
          <w:rStyle w:val="References"/>
        </w:rPr>
        <w:t xml:space="preserve">[Schedule xx, </w:t>
      </w:r>
      <w:r>
        <w:rPr>
          <w:rStyle w:val="References"/>
        </w:rPr>
        <w:t>item 18</w:t>
      </w:r>
      <w:r w:rsidRPr="00873AD0">
        <w:rPr>
          <w:rStyle w:val="References"/>
        </w:rPr>
        <w:t xml:space="preserve">, </w:t>
      </w:r>
      <w:r>
        <w:rPr>
          <w:rStyle w:val="References"/>
        </w:rPr>
        <w:t>subsections 127-5(</w:t>
      </w:r>
      <w:r w:rsidR="00510B5F">
        <w:rPr>
          <w:rStyle w:val="References"/>
        </w:rPr>
        <w:t>6</w:t>
      </w:r>
      <w:r>
        <w:rPr>
          <w:rStyle w:val="References"/>
        </w:rPr>
        <w:t>), (</w:t>
      </w:r>
      <w:r w:rsidR="00510B5F">
        <w:rPr>
          <w:rStyle w:val="References"/>
        </w:rPr>
        <w:t>7</w:t>
      </w:r>
      <w:r>
        <w:rPr>
          <w:rStyle w:val="References"/>
        </w:rPr>
        <w:t>) and (</w:t>
      </w:r>
      <w:r w:rsidR="00510B5F">
        <w:rPr>
          <w:rStyle w:val="References"/>
        </w:rPr>
        <w:t>8</w:t>
      </w:r>
      <w:r>
        <w:rPr>
          <w:rStyle w:val="References"/>
        </w:rPr>
        <w:t>) and section 127-20 in Schedule</w:t>
      </w:r>
      <w:r w:rsidRPr="009A4117">
        <w:rPr>
          <w:rStyle w:val="References"/>
        </w:rPr>
        <w:t xml:space="preserve"> 1 to the TAA 1953</w:t>
      </w:r>
      <w:r w:rsidRPr="00AD24E3">
        <w:rPr>
          <w:rStyle w:val="References"/>
        </w:rPr>
        <w:t xml:space="preserve">] </w:t>
      </w:r>
    </w:p>
    <w:p w14:paraId="1D000604" w14:textId="1A5A42EB" w:rsidR="00FB4A11" w:rsidRDefault="00FB4A11" w:rsidP="00B0671E">
      <w:pPr>
        <w:pStyle w:val="Normalparatextwithnumbers"/>
        <w:ind w:hanging="567"/>
      </w:pPr>
      <w:r w:rsidRPr="001267B2">
        <w:t xml:space="preserve">Where </w:t>
      </w:r>
      <w:r>
        <w:t xml:space="preserve">a </w:t>
      </w:r>
      <w:r w:rsidRPr="001267B2">
        <w:t>GloBE Information Return is filed in a foreign jurisdiction,</w:t>
      </w:r>
      <w:r>
        <w:t xml:space="preserve"> the Constituent Entity with an obligation to lodge the return must notify the Commissioner of the identity of the UPE or Designated Filing Entity that has lodged the GloBE Information Return and the foreign jurisdiction in which that filing entity is located. The </w:t>
      </w:r>
      <w:r w:rsidRPr="002808E3">
        <w:t xml:space="preserve">notification must be </w:t>
      </w:r>
      <w:r>
        <w:t xml:space="preserve">made </w:t>
      </w:r>
      <w:r w:rsidRPr="002808E3">
        <w:t>in writing</w:t>
      </w:r>
      <w:r>
        <w:t xml:space="preserve"> and electronically, </w:t>
      </w:r>
      <w:r w:rsidRPr="002808E3">
        <w:t>in the approved form</w:t>
      </w:r>
      <w:r>
        <w:t>. It must be made by the due date for lodging the GloBE Information Return (15 months after the end of the Fiscal Year, or within 18 months after the end of the Fiscal Year</w:t>
      </w:r>
      <w:r w:rsidDel="00827D41">
        <w:t xml:space="preserve"> </w:t>
      </w:r>
      <w:r>
        <w:t>for the first Fiscal Year in which the GLoBE Rules apply for the Applicable MNE Group).</w:t>
      </w:r>
      <w:r>
        <w:br/>
      </w:r>
      <w:r w:rsidRPr="00C83076">
        <w:rPr>
          <w:rStyle w:val="References"/>
        </w:rPr>
        <w:t xml:space="preserve">[Schedule xx, </w:t>
      </w:r>
      <w:r>
        <w:rPr>
          <w:rStyle w:val="References"/>
        </w:rPr>
        <w:t>items 12 and</w:t>
      </w:r>
      <w:r w:rsidDel="009308FD">
        <w:rPr>
          <w:rStyle w:val="References"/>
        </w:rPr>
        <w:t xml:space="preserve"> </w:t>
      </w:r>
      <w:r>
        <w:rPr>
          <w:rStyle w:val="References"/>
        </w:rPr>
        <w:t>18</w:t>
      </w:r>
      <w:r w:rsidRPr="00873AD0">
        <w:rPr>
          <w:rStyle w:val="References"/>
        </w:rPr>
        <w:t xml:space="preserve">, </w:t>
      </w:r>
      <w:r>
        <w:rPr>
          <w:rStyle w:val="References"/>
        </w:rPr>
        <w:t xml:space="preserve">the definition of Designated Local Entity in subsection 995-1 in the ITAA 1997 and </w:t>
      </w:r>
      <w:r w:rsidR="004E1382">
        <w:rPr>
          <w:rStyle w:val="References"/>
        </w:rPr>
        <w:t>subsection</w:t>
      </w:r>
      <w:r>
        <w:rPr>
          <w:rStyle w:val="References"/>
        </w:rPr>
        <w:t xml:space="preserve"> 127-5(</w:t>
      </w:r>
      <w:r w:rsidR="000F3DDA">
        <w:rPr>
          <w:rStyle w:val="References"/>
        </w:rPr>
        <w:t>7</w:t>
      </w:r>
      <w:r>
        <w:rPr>
          <w:rStyle w:val="References"/>
        </w:rPr>
        <w:t>) in Schedule</w:t>
      </w:r>
      <w:r w:rsidRPr="009A4117">
        <w:rPr>
          <w:rStyle w:val="References"/>
        </w:rPr>
        <w:t xml:space="preserve"> 1 to the TAA 1953</w:t>
      </w:r>
      <w:r w:rsidRPr="00C83076">
        <w:rPr>
          <w:rStyle w:val="References"/>
        </w:rPr>
        <w:t xml:space="preserve">] </w:t>
      </w:r>
      <w:r>
        <w:t xml:space="preserve"> </w:t>
      </w:r>
    </w:p>
    <w:p w14:paraId="24F3923C" w14:textId="77777777" w:rsidR="00FB4A11" w:rsidRPr="00ED7639" w:rsidRDefault="00FB4A11" w:rsidP="00B0671E">
      <w:pPr>
        <w:pStyle w:val="Normalparatextwithnumbers"/>
        <w:ind w:hanging="567"/>
      </w:pPr>
      <w:bookmarkStart w:id="63" w:name="_Ref159833492"/>
      <w:r w:rsidRPr="00ED7639">
        <w:rPr>
          <w:b/>
        </w:rPr>
        <w:t>[Seeking</w:t>
      </w:r>
      <w:r w:rsidRPr="00ED7639" w:rsidDel="00962C32">
        <w:rPr>
          <w:b/>
        </w:rPr>
        <w:t xml:space="preserve"> </w:t>
      </w:r>
      <w:r w:rsidRPr="00ED7639">
        <w:rPr>
          <w:b/>
        </w:rPr>
        <w:t xml:space="preserve">stakeholder comments: </w:t>
      </w:r>
      <w:r w:rsidRPr="00ED7639">
        <w:t xml:space="preserve">There could be a circumstance where the GloBE Information Return is not received from the </w:t>
      </w:r>
      <w:r w:rsidRPr="00ED7639">
        <w:rPr>
          <w:b/>
          <w:i/>
        </w:rPr>
        <w:t xml:space="preserve">foreign government agency </w:t>
      </w:r>
      <w:r w:rsidRPr="00ED7639">
        <w:t>within the time period specified in the Qualifying Competent Authority, notwithstanding the GloBE Information Return being filed by the UPE or a Designated Filing Entity</w:t>
      </w:r>
      <w:r w:rsidRPr="00ED7639">
        <w:rPr>
          <w:b/>
          <w:i/>
        </w:rPr>
        <w:t xml:space="preserve">. </w:t>
      </w:r>
      <w:r w:rsidRPr="00ED7639">
        <w:t>In this circumstance, the Commissioner may by notice in writing require a Constituent Entity to lodge</w:t>
      </w:r>
      <w:r w:rsidRPr="00ED7639" w:rsidDel="00B67390">
        <w:t xml:space="preserve"> </w:t>
      </w:r>
      <w:r w:rsidRPr="00ED7639">
        <w:t>the GloBE Information Return in the approved form within 21 days after the Commissioner provides such notice. Penalties for failing to lodge the return under Subdivision 286-C of Schedule 1 to the TAA 1953 can apply if not lodged by the Constituent Entity within the required time.]</w:t>
      </w:r>
      <w:bookmarkEnd w:id="63"/>
    </w:p>
    <w:p w14:paraId="2F3DC5EA" w14:textId="77777777" w:rsidR="00FB4A11" w:rsidRPr="00880758" w:rsidRDefault="00FB4A11" w:rsidP="00FB4A11">
      <w:pPr>
        <w:pStyle w:val="Heading5"/>
        <w:numPr>
          <w:ilvl w:val="4"/>
          <w:numId w:val="2"/>
        </w:numPr>
      </w:pPr>
      <w:r w:rsidRPr="00880758">
        <w:t xml:space="preserve">Australian GloBE Tax Return </w:t>
      </w:r>
    </w:p>
    <w:p w14:paraId="6FDE6BBC" w14:textId="5ADC03E4" w:rsidR="00FB4A11" w:rsidRDefault="00FB4A11" w:rsidP="00B0671E">
      <w:pPr>
        <w:pStyle w:val="Normalparatextwithnumbers"/>
        <w:ind w:hanging="567"/>
      </w:pPr>
      <w:r w:rsidRPr="00B9403D">
        <w:t xml:space="preserve">The Australian GloBE Tax Return is an Australian specific return </w:t>
      </w:r>
      <w:r>
        <w:t xml:space="preserve">that forms the basis of the Commissioner’s assessment </w:t>
      </w:r>
      <w:r w:rsidRPr="00B9403D">
        <w:t xml:space="preserve">of </w:t>
      </w:r>
      <w:r>
        <w:t xml:space="preserve">GloBE top- up </w:t>
      </w:r>
      <w:r w:rsidRPr="00B9403D">
        <w:t xml:space="preserve">tax for Australian </w:t>
      </w:r>
      <w:r>
        <w:t xml:space="preserve">tax </w:t>
      </w:r>
      <w:r w:rsidRPr="00B9403D">
        <w:t>purposes</w:t>
      </w:r>
      <w:r>
        <w:t>.</w:t>
      </w:r>
      <w:r>
        <w:br/>
      </w:r>
      <w:r w:rsidRPr="00FC4C8E">
        <w:rPr>
          <w:rStyle w:val="References"/>
        </w:rPr>
        <w:t xml:space="preserve">[Schedule xx, </w:t>
      </w:r>
      <w:r>
        <w:rPr>
          <w:rStyle w:val="References"/>
        </w:rPr>
        <w:t>item 18</w:t>
      </w:r>
      <w:r w:rsidRPr="00873AD0">
        <w:rPr>
          <w:rStyle w:val="References"/>
        </w:rPr>
        <w:t xml:space="preserve">, </w:t>
      </w:r>
      <w:r>
        <w:rPr>
          <w:rStyle w:val="References"/>
        </w:rPr>
        <w:t>subsection 127-10(1) in Schedule</w:t>
      </w:r>
      <w:r w:rsidRPr="009A4117">
        <w:rPr>
          <w:rStyle w:val="References"/>
        </w:rPr>
        <w:t xml:space="preserve"> 1 to the TAA 1953</w:t>
      </w:r>
      <w:r w:rsidRPr="00FC4C8E">
        <w:rPr>
          <w:rStyle w:val="References"/>
        </w:rPr>
        <w:t xml:space="preserve">] </w:t>
      </w:r>
    </w:p>
    <w:p w14:paraId="42D8014F" w14:textId="548239E2" w:rsidR="00FB4A11" w:rsidRDefault="00FB4A11" w:rsidP="00B0671E">
      <w:pPr>
        <w:pStyle w:val="Normalparatextwithnumbers"/>
        <w:ind w:hanging="567"/>
      </w:pPr>
      <w:r>
        <w:lastRenderedPageBreak/>
        <w:t xml:space="preserve">In respect of the </w:t>
      </w:r>
      <w:r w:rsidR="00197764">
        <w:t>IIR</w:t>
      </w:r>
      <w:r>
        <w:t>, a</w:t>
      </w:r>
      <w:r w:rsidDel="001C6EC0">
        <w:t xml:space="preserve"> </w:t>
      </w:r>
      <w:r>
        <w:t xml:space="preserve">Constituent Entity that is a Parent Entity </w:t>
      </w:r>
      <w:r w:rsidRPr="00775A6A">
        <w:t xml:space="preserve">that could be liable </w:t>
      </w:r>
      <w:r>
        <w:t xml:space="preserve">for top-up tax (after applying the ordering </w:t>
      </w:r>
      <w:r w:rsidRPr="00775A6A">
        <w:t>rule</w:t>
      </w:r>
      <w:r>
        <w:t xml:space="preserve"> in </w:t>
      </w:r>
      <w:r w:rsidRPr="00721098">
        <w:t>section 2-</w:t>
      </w:r>
      <w:r w:rsidR="00721098" w:rsidRPr="00721098">
        <w:t>5</w:t>
      </w:r>
      <w:r w:rsidRPr="00721098">
        <w:t xml:space="preserve"> of </w:t>
      </w:r>
      <w:r w:rsidR="00A40A6E" w:rsidRPr="00721098">
        <w:t>T</w:t>
      </w:r>
      <w:r w:rsidRPr="00721098">
        <w:t>he Rules</w:t>
      </w:r>
      <w:r>
        <w:t>)</w:t>
      </w:r>
      <w:r w:rsidRPr="00775A6A">
        <w:t xml:space="preserve"> for a Fiscal Year</w:t>
      </w:r>
      <w:r>
        <w:t>, is required to give an Australian GloBE Tax Return to the Commissioner</w:t>
      </w:r>
      <w:r w:rsidRPr="00775A6A">
        <w:t xml:space="preserve"> </w:t>
      </w:r>
      <w:r w:rsidRPr="00B9403D">
        <w:t>even if</w:t>
      </w:r>
      <w:r>
        <w:t xml:space="preserve"> nil</w:t>
      </w:r>
      <w:r w:rsidRPr="00B9403D">
        <w:t xml:space="preserve"> amount of GloBE top-up tax</w:t>
      </w:r>
      <w:r>
        <w:t xml:space="preserve"> is payable.</w:t>
      </w:r>
      <w:r>
        <w:br/>
      </w:r>
      <w:r w:rsidRPr="00CE6A18">
        <w:rPr>
          <w:rStyle w:val="References"/>
        </w:rPr>
        <w:t>[Schedule xx, item</w:t>
      </w:r>
      <w:r>
        <w:rPr>
          <w:rStyle w:val="References"/>
        </w:rPr>
        <w:t xml:space="preserve"> 18</w:t>
      </w:r>
      <w:r w:rsidRPr="00CE6A18">
        <w:rPr>
          <w:rStyle w:val="References"/>
        </w:rPr>
        <w:t xml:space="preserve">, </w:t>
      </w:r>
      <w:r>
        <w:rPr>
          <w:rStyle w:val="References"/>
        </w:rPr>
        <w:t>subsection 127-10(2) in Schedule 1 to the TAA 1953</w:t>
      </w:r>
      <w:r w:rsidRPr="00CE6A18">
        <w:rPr>
          <w:rStyle w:val="References"/>
        </w:rPr>
        <w:t xml:space="preserve">] </w:t>
      </w:r>
      <w:r>
        <w:t xml:space="preserve"> </w:t>
      </w:r>
    </w:p>
    <w:p w14:paraId="73B710D5" w14:textId="51D59383" w:rsidR="00FB4A11" w:rsidRDefault="00FB4A11" w:rsidP="00B0671E">
      <w:pPr>
        <w:pStyle w:val="Normalparatextwithnumbers"/>
        <w:ind w:hanging="567"/>
      </w:pPr>
      <w:r>
        <w:t xml:space="preserve">Where a Constituent Entity is a Permanent Establishment that is required to give an Australian GloBE Tax Return to the Commissioner, the Main Entity is required to give the return to the Commissioner in respect of that Permanent Establishment. </w:t>
      </w:r>
      <w:r>
        <w:br/>
      </w:r>
      <w:r w:rsidRPr="008F01DD">
        <w:rPr>
          <w:rStyle w:val="References"/>
        </w:rPr>
        <w:t>[Schedule xx, item</w:t>
      </w:r>
      <w:r>
        <w:rPr>
          <w:rStyle w:val="References"/>
        </w:rPr>
        <w:t xml:space="preserve"> 18</w:t>
      </w:r>
      <w:r w:rsidRPr="008F01DD">
        <w:rPr>
          <w:rStyle w:val="References"/>
        </w:rPr>
        <w:t xml:space="preserve">, </w:t>
      </w:r>
      <w:r>
        <w:rPr>
          <w:rStyle w:val="References"/>
        </w:rPr>
        <w:t>subsections 127-25(1) and (2)</w:t>
      </w:r>
      <w:r w:rsidR="00B65E8A">
        <w:rPr>
          <w:rStyle w:val="References"/>
        </w:rPr>
        <w:t xml:space="preserve"> </w:t>
      </w:r>
      <w:r>
        <w:rPr>
          <w:rStyle w:val="References"/>
        </w:rPr>
        <w:t>in Schedule 1 to the TAA 1953</w:t>
      </w:r>
      <w:r w:rsidRPr="008F01DD">
        <w:rPr>
          <w:rStyle w:val="References"/>
        </w:rPr>
        <w:t xml:space="preserve">] </w:t>
      </w:r>
    </w:p>
    <w:p w14:paraId="510DB31D" w14:textId="3335C100" w:rsidR="00FB4A11" w:rsidRDefault="00FB4A11" w:rsidP="00B0671E">
      <w:pPr>
        <w:pStyle w:val="Normalparatextwithnumbers"/>
        <w:ind w:hanging="567"/>
      </w:pPr>
      <w:r w:rsidRPr="00B9403D">
        <w:t>A</w:t>
      </w:r>
      <w:r>
        <w:t xml:space="preserve"> Constituent Entity’s </w:t>
      </w:r>
      <w:r w:rsidRPr="00B9403D">
        <w:t xml:space="preserve">obligation to lodge </w:t>
      </w:r>
      <w:r>
        <w:t xml:space="preserve">an Australian GloBE Tax Return may be met by a </w:t>
      </w:r>
      <w:r w:rsidRPr="00C219A8">
        <w:rPr>
          <w:b/>
          <w:bCs/>
          <w:i/>
          <w:iCs/>
        </w:rPr>
        <w:t xml:space="preserve">Designated Local Entity. </w:t>
      </w:r>
      <w:r>
        <w:t>A</w:t>
      </w:r>
      <w:r w:rsidRPr="008E145C">
        <w:t xml:space="preserve"> </w:t>
      </w:r>
      <w:r w:rsidRPr="00F1543C">
        <w:t>Designated Local Entity</w:t>
      </w:r>
      <w:r w:rsidRPr="008E145C">
        <w:t xml:space="preserve"> of an Applicable MNE Group may be appointed by all</w:t>
      </w:r>
      <w:r>
        <w:t xml:space="preserve"> Constituent Entities of an MNE Group to lodge the Australian GloBE Tax Return on behalf of each of those Constituent Entities who have an obligation to lodge,</w:t>
      </w:r>
      <w:r w:rsidRPr="008E145C">
        <w:t xml:space="preserve"> provided the Designated Local Entity is not a Permanent Establishment</w:t>
      </w:r>
      <w:r>
        <w:t>. Similar to the GloBE Information Return, the appointment must for all Constituent Entities with an obligation to lodge an Australian GloBE Tax Return.</w:t>
      </w:r>
      <w:r>
        <w:br/>
      </w:r>
      <w:r w:rsidRPr="00A00E5A">
        <w:rPr>
          <w:rStyle w:val="References"/>
        </w:rPr>
        <w:t>[Schedule xx, item</w:t>
      </w:r>
      <w:r>
        <w:rPr>
          <w:rStyle w:val="References"/>
        </w:rPr>
        <w:t xml:space="preserve"> 18, </w:t>
      </w:r>
      <w:r w:rsidR="001573B1">
        <w:rPr>
          <w:rStyle w:val="References"/>
        </w:rPr>
        <w:t>subsection</w:t>
      </w:r>
      <w:r>
        <w:rPr>
          <w:rStyle w:val="References"/>
        </w:rPr>
        <w:t xml:space="preserve"> 127-10(</w:t>
      </w:r>
      <w:r w:rsidR="00B65E8A">
        <w:rPr>
          <w:rStyle w:val="References"/>
        </w:rPr>
        <w:t>4</w:t>
      </w:r>
      <w:r>
        <w:rPr>
          <w:rStyle w:val="References"/>
        </w:rPr>
        <w:t>) in Schedule 1 to the TAA 1953</w:t>
      </w:r>
      <w:r w:rsidRPr="00A00E5A">
        <w:rPr>
          <w:rStyle w:val="References"/>
        </w:rPr>
        <w:t xml:space="preserve">] </w:t>
      </w:r>
    </w:p>
    <w:p w14:paraId="159D4391" w14:textId="30A9E14B" w:rsidR="00FB4A11" w:rsidRPr="00761C1E" w:rsidRDefault="00FB4A11" w:rsidP="00B0671E">
      <w:pPr>
        <w:pStyle w:val="Normalparatextwithnumbers"/>
        <w:ind w:hanging="567"/>
        <w:rPr>
          <w:rStyle w:val="References"/>
          <w:b w:val="0"/>
          <w:bCs w:val="0"/>
          <w:i w:val="0"/>
          <w:iCs w:val="0"/>
        </w:rPr>
      </w:pPr>
      <w:r w:rsidRPr="00C94496">
        <w:t xml:space="preserve">A </w:t>
      </w:r>
      <w:r>
        <w:t>Constituent Entity with an obligation to lodge an Australian GloBE Tax Return</w:t>
      </w:r>
      <w:r w:rsidRPr="00C94496">
        <w:t xml:space="preserve"> </w:t>
      </w:r>
      <w:r>
        <w:t xml:space="preserve">is </w:t>
      </w:r>
      <w:r w:rsidRPr="00C94496">
        <w:t xml:space="preserve">taken to give the </w:t>
      </w:r>
      <w:r>
        <w:t>r</w:t>
      </w:r>
      <w:r w:rsidRPr="00C94496">
        <w:t>eturn to the Commissioner at the time the Designated Local Entity gives it to the Commissioner</w:t>
      </w:r>
      <w:r>
        <w:t>.</w:t>
      </w:r>
      <w:r>
        <w:br/>
      </w:r>
      <w:r w:rsidRPr="00C94496">
        <w:rPr>
          <w:rStyle w:val="References"/>
        </w:rPr>
        <w:t xml:space="preserve">[Schedule xx, </w:t>
      </w:r>
      <w:r w:rsidRPr="00A00E5A">
        <w:rPr>
          <w:rStyle w:val="References"/>
        </w:rPr>
        <w:t>item</w:t>
      </w:r>
      <w:r>
        <w:rPr>
          <w:rStyle w:val="References"/>
        </w:rPr>
        <w:t xml:space="preserve"> 18, </w:t>
      </w:r>
      <w:r w:rsidR="001573B1">
        <w:rPr>
          <w:rStyle w:val="References"/>
        </w:rPr>
        <w:t>subsection</w:t>
      </w:r>
      <w:r>
        <w:rPr>
          <w:rStyle w:val="References"/>
        </w:rPr>
        <w:t xml:space="preserve"> 127-10(</w:t>
      </w:r>
      <w:r w:rsidR="00B65E8A">
        <w:rPr>
          <w:rStyle w:val="References"/>
        </w:rPr>
        <w:t>5</w:t>
      </w:r>
      <w:r>
        <w:rPr>
          <w:rStyle w:val="References"/>
        </w:rPr>
        <w:t>) in Schedule 1 to the TAA 1953</w:t>
      </w:r>
      <w:r w:rsidRPr="00C94496">
        <w:rPr>
          <w:rStyle w:val="References"/>
        </w:rPr>
        <w:t xml:space="preserve">] </w:t>
      </w:r>
    </w:p>
    <w:p w14:paraId="4D35D7F5" w14:textId="77777777" w:rsidR="00FB4A11" w:rsidRPr="00880758" w:rsidRDefault="00FB4A11" w:rsidP="00FB4A11">
      <w:pPr>
        <w:pStyle w:val="Heading5"/>
        <w:numPr>
          <w:ilvl w:val="4"/>
          <w:numId w:val="2"/>
        </w:numPr>
      </w:pPr>
      <w:r>
        <w:t xml:space="preserve">Domestic Minimum </w:t>
      </w:r>
      <w:r w:rsidRPr="00880758">
        <w:t xml:space="preserve">Tax Return </w:t>
      </w:r>
    </w:p>
    <w:p w14:paraId="25AABA62" w14:textId="72547085" w:rsidR="00FB4A11" w:rsidRDefault="00FB4A11" w:rsidP="005654B5">
      <w:pPr>
        <w:pStyle w:val="Normalparatextwithnumbers"/>
        <w:ind w:hanging="567"/>
      </w:pPr>
      <w:r w:rsidRPr="00B9403D">
        <w:t xml:space="preserve">The </w:t>
      </w:r>
      <w:r>
        <w:t>DMT</w:t>
      </w:r>
      <w:r w:rsidRPr="00B9403D">
        <w:t xml:space="preserve"> Return is an Australian</w:t>
      </w:r>
      <w:r w:rsidR="001573B1">
        <w:t>-</w:t>
      </w:r>
      <w:r w:rsidRPr="00B9403D">
        <w:t xml:space="preserve">specific return </w:t>
      </w:r>
      <w:r>
        <w:t>that forms the basis of the Commissioner’s assessment</w:t>
      </w:r>
      <w:r w:rsidDel="00E165A8">
        <w:t xml:space="preserve"> </w:t>
      </w:r>
      <w:r w:rsidRPr="00B9403D">
        <w:t xml:space="preserve">of </w:t>
      </w:r>
      <w:r>
        <w:t>DMT top</w:t>
      </w:r>
      <w:r w:rsidR="00E22889">
        <w:noBreakHyphen/>
      </w:r>
      <w:r>
        <w:t xml:space="preserve">up </w:t>
      </w:r>
      <w:r w:rsidRPr="00B9403D">
        <w:t xml:space="preserve">tax for Australian </w:t>
      </w:r>
      <w:r>
        <w:t xml:space="preserve">tax </w:t>
      </w:r>
      <w:r w:rsidRPr="00B9403D">
        <w:t>purposes</w:t>
      </w:r>
      <w:r>
        <w:t>.</w:t>
      </w:r>
      <w:r>
        <w:br/>
      </w:r>
      <w:r w:rsidRPr="00BE186B">
        <w:rPr>
          <w:rStyle w:val="References"/>
        </w:rPr>
        <w:t>[Schedule xx, item</w:t>
      </w:r>
      <w:r>
        <w:rPr>
          <w:rStyle w:val="References"/>
        </w:rPr>
        <w:t xml:space="preserve"> 18, </w:t>
      </w:r>
      <w:r w:rsidR="001573B1">
        <w:rPr>
          <w:rStyle w:val="References"/>
        </w:rPr>
        <w:t>subsection</w:t>
      </w:r>
      <w:r>
        <w:rPr>
          <w:rStyle w:val="References"/>
        </w:rPr>
        <w:t xml:space="preserve"> 127-15(1) in Schedule 1 to the TAA 1953</w:t>
      </w:r>
      <w:r w:rsidRPr="00BE186B">
        <w:rPr>
          <w:rStyle w:val="References"/>
        </w:rPr>
        <w:t xml:space="preserve">] </w:t>
      </w:r>
    </w:p>
    <w:p w14:paraId="21BCF60E" w14:textId="77777777" w:rsidR="00FB4A11" w:rsidRPr="00F11007" w:rsidRDefault="00FB4A11" w:rsidP="005654B5">
      <w:pPr>
        <w:pStyle w:val="Normalparatextwithnumbers"/>
        <w:ind w:hanging="567"/>
        <w:rPr>
          <w:rStyle w:val="References"/>
          <w:b w:val="0"/>
          <w:bCs w:val="0"/>
          <w:i w:val="0"/>
          <w:iCs w:val="0"/>
        </w:rPr>
      </w:pPr>
      <w:r>
        <w:t xml:space="preserve">A Constituent Entity of an Applicable MNE Group that is located in Australia is required to give a DMT Return to the Commissioner within the time period required for lodging the GloBE Information Return. </w:t>
      </w:r>
      <w:r>
        <w:br/>
      </w:r>
      <w:r w:rsidRPr="00D92FC9">
        <w:rPr>
          <w:rStyle w:val="References"/>
        </w:rPr>
        <w:t>[Schedule xx, item</w:t>
      </w:r>
      <w:r>
        <w:rPr>
          <w:rStyle w:val="References"/>
        </w:rPr>
        <w:t xml:space="preserve"> 18</w:t>
      </w:r>
      <w:r w:rsidRPr="00D92FC9">
        <w:rPr>
          <w:rStyle w:val="References"/>
        </w:rPr>
        <w:t xml:space="preserve">, </w:t>
      </w:r>
      <w:r>
        <w:rPr>
          <w:rStyle w:val="References"/>
        </w:rPr>
        <w:t>subsection 127-15(2) in Schedule 1 to the TAA 1953</w:t>
      </w:r>
      <w:r w:rsidRPr="00D92FC9">
        <w:rPr>
          <w:rStyle w:val="References"/>
        </w:rPr>
        <w:t xml:space="preserve">] </w:t>
      </w:r>
    </w:p>
    <w:p w14:paraId="69383041" w14:textId="37471016" w:rsidR="00FB4A11" w:rsidRPr="00ED7639" w:rsidRDefault="00FB4A11" w:rsidP="005654B5">
      <w:pPr>
        <w:pStyle w:val="Normalparatextwithnumbers"/>
        <w:ind w:hanging="567"/>
      </w:pPr>
      <w:bookmarkStart w:id="64" w:name="_Ref159833502"/>
      <w:r w:rsidRPr="00ED7639">
        <w:rPr>
          <w:b/>
        </w:rPr>
        <w:t>[Seeking</w:t>
      </w:r>
      <w:r w:rsidRPr="00ED7639" w:rsidDel="00962C32">
        <w:rPr>
          <w:b/>
        </w:rPr>
        <w:t xml:space="preserve"> </w:t>
      </w:r>
      <w:r w:rsidRPr="00ED7639">
        <w:rPr>
          <w:b/>
        </w:rPr>
        <w:t xml:space="preserve">stakeholder comments: </w:t>
      </w:r>
      <w:r w:rsidRPr="00ED7639">
        <w:t xml:space="preserve"> Currently all Constituent Entities of an Applicable MNE Group that are located in Australia for the purposes of the Assessment </w:t>
      </w:r>
      <w:r w:rsidR="004F5B1B" w:rsidRPr="00ED7639">
        <w:t>Bill</w:t>
      </w:r>
      <w:r w:rsidRPr="00ED7639">
        <w:t xml:space="preserve"> are required to lodge a DMT Return. We are seeking views on whether there are circumstances in which lodgment of the DMT Return by a Constituent Entity might not be warranted. In particular, please also note the administrative collection mechanism for tax consolidated groups.]</w:t>
      </w:r>
      <w:bookmarkEnd w:id="64"/>
      <w:r w:rsidRPr="00ED7639">
        <w:t xml:space="preserve"> </w:t>
      </w:r>
    </w:p>
    <w:p w14:paraId="2BA01E28" w14:textId="77777777" w:rsidR="00FB4A11" w:rsidRDefault="00FB4A11" w:rsidP="005654B5">
      <w:pPr>
        <w:pStyle w:val="Normalparatextwithnumbers"/>
        <w:ind w:hanging="567"/>
      </w:pPr>
      <w:r>
        <w:t xml:space="preserve">A Constituent Entity that is required to </w:t>
      </w:r>
      <w:r w:rsidRPr="004C6457">
        <w:t>give a</w:t>
      </w:r>
      <w:r>
        <w:t xml:space="preserve"> DMT Return</w:t>
      </w:r>
      <w:r w:rsidRPr="004C6457">
        <w:t xml:space="preserve"> to the Commissioner</w:t>
      </w:r>
      <w:r>
        <w:t xml:space="preserve"> must give that return to the Commissioner within the required period</w:t>
      </w:r>
      <w:r w:rsidRPr="004C6457">
        <w:t xml:space="preserve"> even if the amount of</w:t>
      </w:r>
      <w:r>
        <w:t xml:space="preserve"> Domestic top-up tax</w:t>
      </w:r>
      <w:r w:rsidRPr="004C6457">
        <w:t xml:space="preserve"> the</w:t>
      </w:r>
      <w:r>
        <w:t xml:space="preserve"> Constituent Entity</w:t>
      </w:r>
      <w:r w:rsidRPr="004C6457">
        <w:t xml:space="preserve"> is liable to pay is nil.</w:t>
      </w:r>
      <w:r>
        <w:br/>
      </w:r>
      <w:r w:rsidRPr="001C6562">
        <w:rPr>
          <w:rStyle w:val="References"/>
        </w:rPr>
        <w:lastRenderedPageBreak/>
        <w:t xml:space="preserve">[Schedule xx, </w:t>
      </w:r>
      <w:r>
        <w:rPr>
          <w:rStyle w:val="References"/>
        </w:rPr>
        <w:t>subsection 127-15(2) and section 127-20</w:t>
      </w:r>
      <w:r w:rsidRPr="001C6562">
        <w:rPr>
          <w:rStyle w:val="References"/>
        </w:rPr>
        <w:t xml:space="preserve"> </w:t>
      </w:r>
      <w:r>
        <w:rPr>
          <w:rStyle w:val="References"/>
        </w:rPr>
        <w:t>in</w:t>
      </w:r>
      <w:r w:rsidRPr="001C6562">
        <w:rPr>
          <w:rStyle w:val="References"/>
        </w:rPr>
        <w:t xml:space="preserve"> </w:t>
      </w:r>
      <w:r>
        <w:rPr>
          <w:rStyle w:val="References"/>
        </w:rPr>
        <w:t>Schedule 1 to the TAA 1953</w:t>
      </w:r>
      <w:r w:rsidRPr="001C6562">
        <w:rPr>
          <w:rStyle w:val="References"/>
        </w:rPr>
        <w:t xml:space="preserve"> </w:t>
      </w:r>
    </w:p>
    <w:p w14:paraId="38B1B7A1" w14:textId="3A5EC687" w:rsidR="00FB4A11" w:rsidRDefault="00FB4A11" w:rsidP="005654B5">
      <w:pPr>
        <w:pStyle w:val="Normalparatextwithnumbers"/>
        <w:ind w:hanging="567"/>
      </w:pPr>
      <w:r w:rsidRPr="00B9403D">
        <w:t>A</w:t>
      </w:r>
      <w:r>
        <w:t>n Entity</w:t>
      </w:r>
      <w:r w:rsidRPr="00B9403D">
        <w:t xml:space="preserve">’s obligation to lodge </w:t>
      </w:r>
      <w:r>
        <w:t xml:space="preserve">a DMT Return may be met by a </w:t>
      </w:r>
      <w:r w:rsidRPr="00FB3A12">
        <w:rPr>
          <w:b/>
          <w:bCs/>
          <w:i/>
          <w:iCs/>
        </w:rPr>
        <w:t xml:space="preserve">Designated Local Entity. </w:t>
      </w:r>
      <w:r>
        <w:t>A</w:t>
      </w:r>
      <w:r w:rsidRPr="008E145C">
        <w:t xml:space="preserve"> </w:t>
      </w:r>
      <w:r w:rsidRPr="00FB3A12">
        <w:rPr>
          <w:b/>
          <w:bCs/>
          <w:i/>
          <w:iCs/>
        </w:rPr>
        <w:t>Designated Local Entity</w:t>
      </w:r>
      <w:r>
        <w:t xml:space="preserve"> </w:t>
      </w:r>
      <w:r w:rsidRPr="008E145C">
        <w:t>of an Applicable MNE Group may be appointed by all</w:t>
      </w:r>
      <w:r>
        <w:t xml:space="preserve"> Constituent Entities of an MNE Group to lodge the DMT Return on behalf of each of those Constituent Entities who have an obligation to lodge, </w:t>
      </w:r>
      <w:r w:rsidRPr="008E145C">
        <w:t>provided the Designated Local Entity is not a Permanent Establishment</w:t>
      </w:r>
      <w:r>
        <w:t>. Similar to the GloBE Information Return, the appointment must apply for all Constituent Entities that are required to lodge a DMT Return.</w:t>
      </w:r>
      <w:r w:rsidRPr="00226019">
        <w:t xml:space="preserve"> </w:t>
      </w:r>
      <w:r>
        <w:t>A Constituent Entity that is required to lodge a DMT</w:t>
      </w:r>
      <w:r w:rsidRPr="00B9403D">
        <w:t xml:space="preserve"> Return </w:t>
      </w:r>
      <w:r>
        <w:t xml:space="preserve">is taken </w:t>
      </w:r>
      <w:r w:rsidRPr="00B9403D">
        <w:t xml:space="preserve">to </w:t>
      </w:r>
      <w:r>
        <w:t>give the return to</w:t>
      </w:r>
      <w:r w:rsidRPr="00B9403D">
        <w:t xml:space="preserve"> </w:t>
      </w:r>
      <w:r>
        <w:t xml:space="preserve">the </w:t>
      </w:r>
      <w:r w:rsidRPr="00B9403D">
        <w:t>Commissioner at the time</w:t>
      </w:r>
      <w:r w:rsidRPr="00851A76">
        <w:t xml:space="preserve"> the </w:t>
      </w:r>
      <w:r w:rsidRPr="00943919">
        <w:t>Designated Local Entity</w:t>
      </w:r>
      <w:r w:rsidRPr="00943919">
        <w:rPr>
          <w:b/>
          <w:bCs/>
          <w:i/>
          <w:iCs/>
        </w:rPr>
        <w:t xml:space="preserve"> </w:t>
      </w:r>
      <w:r w:rsidRPr="00B9403D">
        <w:t>gives it to the Commissioner.</w:t>
      </w:r>
      <w:r>
        <w:br/>
      </w:r>
      <w:r w:rsidRPr="00FB3A12">
        <w:rPr>
          <w:rStyle w:val="References"/>
        </w:rPr>
        <w:t>[Schedule xx, item</w:t>
      </w:r>
      <w:r>
        <w:rPr>
          <w:rStyle w:val="References"/>
        </w:rPr>
        <w:t xml:space="preserve"> 18, subsections 127-15(</w:t>
      </w:r>
      <w:r w:rsidR="00AF2532">
        <w:rPr>
          <w:rStyle w:val="References"/>
        </w:rPr>
        <w:t>4</w:t>
      </w:r>
      <w:r>
        <w:rPr>
          <w:rStyle w:val="References"/>
        </w:rPr>
        <w:t>)</w:t>
      </w:r>
      <w:r w:rsidR="00AF2532">
        <w:rPr>
          <w:rStyle w:val="References"/>
        </w:rPr>
        <w:t xml:space="preserve"> </w:t>
      </w:r>
      <w:r>
        <w:rPr>
          <w:rStyle w:val="References"/>
        </w:rPr>
        <w:t>and (</w:t>
      </w:r>
      <w:r w:rsidR="00AF2532">
        <w:rPr>
          <w:rStyle w:val="References"/>
        </w:rPr>
        <w:t>5</w:t>
      </w:r>
      <w:r>
        <w:rPr>
          <w:rStyle w:val="References"/>
        </w:rPr>
        <w:t>) in Schedule 1 to the TAA 1953</w:t>
      </w:r>
      <w:r w:rsidRPr="00FB3A12">
        <w:rPr>
          <w:rStyle w:val="References"/>
        </w:rPr>
        <w:t xml:space="preserve">] </w:t>
      </w:r>
    </w:p>
    <w:p w14:paraId="14DE5FD3" w14:textId="77777777" w:rsidR="00FB4A11" w:rsidRDefault="00FB4A11" w:rsidP="005654B5">
      <w:pPr>
        <w:pStyle w:val="Normalparatextwithnumbers"/>
        <w:ind w:hanging="567"/>
      </w:pPr>
      <w:r>
        <w:t xml:space="preserve">Where a Constituent Entity is a Permanent Establishment that is required to give an Australian GloBE Tax Return to the Commissioner, the Main Entity is required to give the return to the Commissioner in respect of that Permanent Establishment. </w:t>
      </w:r>
      <w:r>
        <w:br/>
      </w:r>
      <w:r w:rsidRPr="008F01DD">
        <w:rPr>
          <w:rStyle w:val="References"/>
        </w:rPr>
        <w:t>[Schedule xx, item</w:t>
      </w:r>
      <w:r>
        <w:rPr>
          <w:rStyle w:val="References"/>
        </w:rPr>
        <w:t xml:space="preserve"> 18</w:t>
      </w:r>
      <w:r w:rsidRPr="008F01DD">
        <w:rPr>
          <w:rStyle w:val="References"/>
        </w:rPr>
        <w:t xml:space="preserve">, </w:t>
      </w:r>
      <w:r>
        <w:rPr>
          <w:rStyle w:val="References"/>
        </w:rPr>
        <w:t>subsections 127-25(1) and (2) in Schedule 1 to the TAA 1953</w:t>
      </w:r>
      <w:r w:rsidRPr="008F01DD">
        <w:rPr>
          <w:rStyle w:val="References"/>
        </w:rPr>
        <w:t>]</w:t>
      </w:r>
    </w:p>
    <w:p w14:paraId="01D8F936" w14:textId="77777777" w:rsidR="00FB4A11" w:rsidRDefault="00FB4A11" w:rsidP="00FB4A11">
      <w:pPr>
        <w:pStyle w:val="Heading5"/>
        <w:numPr>
          <w:ilvl w:val="0"/>
          <w:numId w:val="0"/>
        </w:numPr>
      </w:pPr>
      <w:r>
        <w:t xml:space="preserve">Assessments </w:t>
      </w:r>
    </w:p>
    <w:p w14:paraId="7BDD3C0B" w14:textId="16953720" w:rsidR="00FB4A11" w:rsidRPr="00E57282" w:rsidRDefault="00FB4A11" w:rsidP="0035023A">
      <w:pPr>
        <w:pStyle w:val="Normalparatextwithnumbers"/>
        <w:ind w:hanging="567"/>
      </w:pPr>
      <w:r>
        <w:t xml:space="preserve">An assessment will be deemed to have been made upon the lodgment of the relevant return – a DMT Return for a liability for Domestic top-up tax and an Australian GloBE Tax Return for an amount of GloBE </w:t>
      </w:r>
      <w:r w:rsidR="00DB5DFE">
        <w:t>t</w:t>
      </w:r>
      <w:r>
        <w:t>op-</w:t>
      </w:r>
      <w:r w:rsidR="00AF2532">
        <w:t>u</w:t>
      </w:r>
      <w:r>
        <w:t xml:space="preserve">p </w:t>
      </w:r>
      <w:r w:rsidR="00DB5DFE">
        <w:t>t</w:t>
      </w:r>
      <w:r>
        <w:t>ax.</w:t>
      </w:r>
      <w:r>
        <w:br/>
      </w:r>
      <w:r w:rsidRPr="00ED179B">
        <w:rPr>
          <w:rStyle w:val="References"/>
        </w:rPr>
        <w:t xml:space="preserve">[Schedule xx, </w:t>
      </w:r>
      <w:r w:rsidRPr="00BE2F55">
        <w:rPr>
          <w:rStyle w:val="References"/>
        </w:rPr>
        <w:t>item</w:t>
      </w:r>
      <w:r>
        <w:rPr>
          <w:rStyle w:val="References"/>
        </w:rPr>
        <w:t xml:space="preserve"> 20</w:t>
      </w:r>
      <w:r w:rsidRPr="00BE2F55">
        <w:rPr>
          <w:rStyle w:val="References"/>
        </w:rPr>
        <w:t>,</w:t>
      </w:r>
      <w:r>
        <w:rPr>
          <w:rStyle w:val="References"/>
        </w:rPr>
        <w:t xml:space="preserve"> items 6 and 7 of the table in subsection 155</w:t>
      </w:r>
      <w:r>
        <w:rPr>
          <w:rStyle w:val="References"/>
        </w:rPr>
        <w:noBreakHyphen/>
        <w:t>15(1) in Schedule 1 to the TAA 1953</w:t>
      </w:r>
      <w:r w:rsidRPr="00ED179B">
        <w:rPr>
          <w:rStyle w:val="References"/>
        </w:rPr>
        <w:t xml:space="preserve">] </w:t>
      </w:r>
    </w:p>
    <w:p w14:paraId="71557160" w14:textId="77777777" w:rsidR="00FB4A11" w:rsidRPr="00D04CDA" w:rsidRDefault="00FB4A11" w:rsidP="0035023A">
      <w:pPr>
        <w:pStyle w:val="Normalparatextwithnumbers"/>
        <w:ind w:hanging="567"/>
      </w:pPr>
      <w:r>
        <w:t>W</w:t>
      </w:r>
      <w:r w:rsidRPr="00D04CDA">
        <w:t xml:space="preserve">here a DMT Return or Australian GloBE Tax Return is filed on behalf of other </w:t>
      </w:r>
      <w:r>
        <w:t>e</w:t>
      </w:r>
      <w:r w:rsidRPr="00D04CDA">
        <w:t xml:space="preserve">ntities by a Designated Local Entity, an assessment </w:t>
      </w:r>
      <w:r>
        <w:t xml:space="preserve">of tax is </w:t>
      </w:r>
      <w:r w:rsidRPr="00D04CDA">
        <w:t>deemed to have been made in respect of each of those</w:t>
      </w:r>
      <w:r>
        <w:t xml:space="preserve"> entities</w:t>
      </w:r>
      <w:r w:rsidRPr="00D04CDA">
        <w:t xml:space="preserve"> upon </w:t>
      </w:r>
      <w:r>
        <w:t xml:space="preserve">the lodgment of the return </w:t>
      </w:r>
      <w:r w:rsidRPr="00D04CDA">
        <w:t>by the Designated Local Entity.</w:t>
      </w:r>
    </w:p>
    <w:p w14:paraId="75EB58B2" w14:textId="75309D59" w:rsidR="00FB4A11" w:rsidRPr="00E57282" w:rsidRDefault="00FB4A11" w:rsidP="0035023A">
      <w:pPr>
        <w:pStyle w:val="Normalparatextwithnumbers"/>
        <w:ind w:hanging="567"/>
      </w:pPr>
      <w:r>
        <w:t xml:space="preserve">Section 155-5 in Schedule 1 to the TAA provides that the Commissioner can make an assessment of an </w:t>
      </w:r>
      <w:r w:rsidRPr="008A6DB1">
        <w:rPr>
          <w:b/>
          <w:i/>
        </w:rPr>
        <w:t>assessable amount</w:t>
      </w:r>
      <w:r>
        <w:t>. GloBE top-up tax and Domestic top-up tax will be listed in this section giving the Commissioner the power to make an assessment of the GloBE top-up tax and Domestic top-up tax in accordance with Australia’s self-assessment regime. This ensures the Commissioner can also make a default assessment of these amounts in the case of entities failing to lodge their return or provide sufficient information in their return.</w:t>
      </w:r>
      <w:r>
        <w:br/>
      </w:r>
      <w:r w:rsidRPr="00BE2F55">
        <w:rPr>
          <w:rStyle w:val="References"/>
        </w:rPr>
        <w:t>[Schedule xx, item</w:t>
      </w:r>
      <w:r>
        <w:rPr>
          <w:rStyle w:val="References"/>
        </w:rPr>
        <w:t xml:space="preserve"> 19</w:t>
      </w:r>
      <w:r w:rsidRPr="00BE2F55">
        <w:rPr>
          <w:rStyle w:val="References"/>
        </w:rPr>
        <w:t>,</w:t>
      </w:r>
      <w:r>
        <w:rPr>
          <w:rStyle w:val="References"/>
        </w:rPr>
        <w:t xml:space="preserve"> </w:t>
      </w:r>
      <w:r w:rsidR="004E1382">
        <w:rPr>
          <w:rStyle w:val="References"/>
        </w:rPr>
        <w:t>subsection</w:t>
      </w:r>
      <w:r>
        <w:rPr>
          <w:rStyle w:val="References"/>
        </w:rPr>
        <w:t>s 155</w:t>
      </w:r>
      <w:r>
        <w:rPr>
          <w:rStyle w:val="References"/>
        </w:rPr>
        <w:noBreakHyphen/>
        <w:t>5(2)(m) and (n) in Schedule 1 to the TAA 1953</w:t>
      </w:r>
      <w:r w:rsidRPr="00BE2F55">
        <w:rPr>
          <w:rStyle w:val="References"/>
        </w:rPr>
        <w:t xml:space="preserve">] </w:t>
      </w:r>
    </w:p>
    <w:p w14:paraId="60B6A95C" w14:textId="77777777" w:rsidR="00FB4A11" w:rsidRPr="00D52BBB" w:rsidRDefault="00FB4A11" w:rsidP="0035023A">
      <w:pPr>
        <w:pStyle w:val="Normalparatextwithnumbers"/>
        <w:ind w:hanging="567"/>
        <w:rPr>
          <w:rStyle w:val="References"/>
          <w:b w:val="0"/>
          <w:bCs w:val="0"/>
          <w:i w:val="0"/>
          <w:iCs w:val="0"/>
        </w:rPr>
      </w:pPr>
      <w:r>
        <w:t>An amount of GloBE top-up tax or Domestic top-up tax is due and payable on the last day of the 15</w:t>
      </w:r>
      <w:r w:rsidRPr="00886057">
        <w:rPr>
          <w:vertAlign w:val="superscript"/>
        </w:rPr>
        <w:t>th</w:t>
      </w:r>
      <w:r>
        <w:t xml:space="preserve"> month after the end of the Fiscal Year (this is the same </w:t>
      </w:r>
      <w:r>
        <w:lastRenderedPageBreak/>
        <w:t>day the return that gives rise to the assessment is due).</w:t>
      </w:r>
      <w:r>
        <w:br/>
      </w:r>
      <w:r w:rsidRPr="00B9274E">
        <w:rPr>
          <w:rStyle w:val="References"/>
        </w:rPr>
        <w:t>[Schedule xx, ite</w:t>
      </w:r>
      <w:r>
        <w:rPr>
          <w:rStyle w:val="References"/>
        </w:rPr>
        <w:t>m</w:t>
      </w:r>
      <w:r w:rsidRPr="00B9274E">
        <w:rPr>
          <w:rStyle w:val="References"/>
        </w:rPr>
        <w:t xml:space="preserve"> </w:t>
      </w:r>
      <w:r>
        <w:rPr>
          <w:rStyle w:val="References"/>
        </w:rPr>
        <w:t>18, 127</w:t>
      </w:r>
      <w:r>
        <w:rPr>
          <w:rStyle w:val="References"/>
        </w:rPr>
        <w:noBreakHyphen/>
        <w:t>30(1)</w:t>
      </w:r>
      <w:r w:rsidRPr="00BB03D2">
        <w:rPr>
          <w:rStyle w:val="References"/>
        </w:rPr>
        <w:t xml:space="preserve"> </w:t>
      </w:r>
      <w:r>
        <w:rPr>
          <w:rStyle w:val="References"/>
        </w:rPr>
        <w:t>in Schedule 1 to the TAA 1953</w:t>
      </w:r>
      <w:r w:rsidRPr="00B9274E">
        <w:rPr>
          <w:rStyle w:val="References"/>
        </w:rPr>
        <w:t>]</w:t>
      </w:r>
    </w:p>
    <w:p w14:paraId="5A8C22A2" w14:textId="1E325ABD" w:rsidR="00FB4A11" w:rsidRPr="003D262C" w:rsidRDefault="00FB4A11" w:rsidP="0035023A">
      <w:pPr>
        <w:pStyle w:val="Normalparatextwithnumbers"/>
        <w:ind w:hanging="567"/>
        <w:rPr>
          <w:rStyle w:val="References"/>
          <w:b w:val="0"/>
          <w:bCs w:val="0"/>
          <w:i w:val="0"/>
          <w:iCs w:val="0"/>
        </w:rPr>
      </w:pPr>
      <w:r w:rsidRPr="002808E3">
        <w:t xml:space="preserve">In </w:t>
      </w:r>
      <w:r>
        <w:t>the</w:t>
      </w:r>
      <w:r w:rsidRPr="002808E3">
        <w:t xml:space="preserve"> transition year</w:t>
      </w:r>
      <w:r>
        <w:t>,</w:t>
      </w:r>
      <w:r w:rsidRPr="002808E3">
        <w:t xml:space="preserve"> an amount is due and payable on the last day of the 18</w:t>
      </w:r>
      <w:r>
        <w:rPr>
          <w:vertAlign w:val="superscript"/>
        </w:rPr>
        <w:t>th</w:t>
      </w:r>
      <w:r w:rsidR="00DB5DFE">
        <w:t> </w:t>
      </w:r>
      <w:r w:rsidRPr="002808E3">
        <w:t>month after the end of the Fiscal Year</w:t>
      </w:r>
      <w:r>
        <w:t xml:space="preserve">. </w:t>
      </w:r>
      <w:r>
        <w:br/>
      </w:r>
      <w:r w:rsidRPr="00886057">
        <w:rPr>
          <w:rStyle w:val="References"/>
        </w:rPr>
        <w:t xml:space="preserve">[Schedule xx, </w:t>
      </w:r>
      <w:r w:rsidRPr="00B9274E">
        <w:rPr>
          <w:rStyle w:val="References"/>
        </w:rPr>
        <w:t>ite</w:t>
      </w:r>
      <w:r>
        <w:rPr>
          <w:rStyle w:val="References"/>
        </w:rPr>
        <w:t>m</w:t>
      </w:r>
      <w:r w:rsidRPr="00B9274E">
        <w:rPr>
          <w:rStyle w:val="References"/>
        </w:rPr>
        <w:t xml:space="preserve"> </w:t>
      </w:r>
      <w:r>
        <w:rPr>
          <w:rStyle w:val="References"/>
        </w:rPr>
        <w:t>18, 127</w:t>
      </w:r>
      <w:r>
        <w:rPr>
          <w:rStyle w:val="References"/>
        </w:rPr>
        <w:noBreakHyphen/>
        <w:t>30(1A) in Schedule 1 to the TAA 1953</w:t>
      </w:r>
      <w:r w:rsidRPr="00886057">
        <w:rPr>
          <w:rStyle w:val="References"/>
        </w:rPr>
        <w:t xml:space="preserve">] </w:t>
      </w:r>
      <w:r w:rsidRPr="00B9274E">
        <w:rPr>
          <w:rStyle w:val="References"/>
        </w:rPr>
        <w:t xml:space="preserve"> </w:t>
      </w:r>
    </w:p>
    <w:p w14:paraId="4D19967D" w14:textId="34533A8C" w:rsidR="00FB4A11" w:rsidRPr="00143050" w:rsidRDefault="00FB4A11" w:rsidP="0035023A">
      <w:pPr>
        <w:pStyle w:val="Normalparatextwithnumbers"/>
        <w:ind w:hanging="567"/>
        <w:rPr>
          <w:rStyle w:val="References"/>
          <w:b w:val="0"/>
          <w:bCs w:val="0"/>
          <w:i w:val="0"/>
          <w:iCs w:val="0"/>
        </w:rPr>
      </w:pPr>
      <w:r>
        <w:rPr>
          <w:rStyle w:val="References"/>
          <w:b w:val="0"/>
          <w:bCs w:val="0"/>
          <w:i w:val="0"/>
          <w:iCs w:val="0"/>
        </w:rPr>
        <w:t xml:space="preserve">A transitional provision provides for short Reporting Fiscal Years. Where any an amount of GloBE Top-up tax or Domestic top-up tax </w:t>
      </w:r>
      <w:r>
        <w:t>(including extra such tax resulting from the amendment of an assessment) is</w:t>
      </w:r>
      <w:r>
        <w:rPr>
          <w:rStyle w:val="References"/>
          <w:b w:val="0"/>
          <w:bCs w:val="0"/>
          <w:i w:val="0"/>
          <w:iCs w:val="0"/>
        </w:rPr>
        <w:t xml:space="preserve"> required to be paid to the Commissioner no later than a particular time before 30 June 2026, the amount is due and payable on</w:t>
      </w:r>
      <w:r w:rsidRPr="00B9403D">
        <w:rPr>
          <w:rStyle w:val="References"/>
          <w:b w:val="0"/>
          <w:bCs w:val="0"/>
          <w:i w:val="0"/>
          <w:iCs w:val="0"/>
        </w:rPr>
        <w:t xml:space="preserve"> 30 June 2026. That is</w:t>
      </w:r>
      <w:r>
        <w:rPr>
          <w:rStyle w:val="References"/>
          <w:b w:val="0"/>
          <w:bCs w:val="0"/>
          <w:i w:val="0"/>
          <w:iCs w:val="0"/>
        </w:rPr>
        <w:t>,</w:t>
      </w:r>
      <w:r w:rsidRPr="00B9403D">
        <w:rPr>
          <w:rStyle w:val="References"/>
          <w:b w:val="0"/>
          <w:bCs w:val="0"/>
          <w:i w:val="0"/>
          <w:iCs w:val="0"/>
        </w:rPr>
        <w:t xml:space="preserve"> the deadline </w:t>
      </w:r>
      <w:r>
        <w:rPr>
          <w:rStyle w:val="References"/>
          <w:b w:val="0"/>
          <w:bCs w:val="0"/>
          <w:i w:val="0"/>
          <w:iCs w:val="0"/>
        </w:rPr>
        <w:t xml:space="preserve">for payment </w:t>
      </w:r>
      <w:r w:rsidRPr="00B9403D">
        <w:rPr>
          <w:rStyle w:val="References"/>
          <w:b w:val="0"/>
          <w:bCs w:val="0"/>
          <w:i w:val="0"/>
          <w:iCs w:val="0"/>
        </w:rPr>
        <w:t>is extended to 30 June 2026</w:t>
      </w:r>
      <w:r>
        <w:rPr>
          <w:rStyle w:val="References"/>
          <w:b w:val="0"/>
          <w:bCs w:val="0"/>
          <w:i w:val="0"/>
          <w:iCs w:val="0"/>
        </w:rPr>
        <w:t>.</w:t>
      </w:r>
      <w:r>
        <w:rPr>
          <w:rStyle w:val="References"/>
          <w:b w:val="0"/>
          <w:bCs w:val="0"/>
          <w:i w:val="0"/>
          <w:iCs w:val="0"/>
        </w:rPr>
        <w:br/>
      </w:r>
      <w:r w:rsidRPr="00D777B0">
        <w:rPr>
          <w:rStyle w:val="References"/>
        </w:rPr>
        <w:t xml:space="preserve">[Schedule xx, </w:t>
      </w:r>
      <w:r>
        <w:rPr>
          <w:rStyle w:val="References"/>
        </w:rPr>
        <w:t>item 18A</w:t>
      </w:r>
      <w:r w:rsidR="00BD6D69">
        <w:rPr>
          <w:rStyle w:val="References"/>
        </w:rPr>
        <w:t xml:space="preserve"> of the Consequential </w:t>
      </w:r>
      <w:r w:rsidR="00AF2532">
        <w:rPr>
          <w:rStyle w:val="References"/>
        </w:rPr>
        <w:t>Bill</w:t>
      </w:r>
      <w:r w:rsidRPr="00D777B0">
        <w:rPr>
          <w:rStyle w:val="References"/>
        </w:rPr>
        <w:t xml:space="preserve">] </w:t>
      </w:r>
    </w:p>
    <w:p w14:paraId="69AF19FE" w14:textId="77777777" w:rsidR="00FB4A11" w:rsidRPr="00A0571F" w:rsidRDefault="00FB4A11" w:rsidP="00FB4A11">
      <w:pPr>
        <w:pStyle w:val="Heading5"/>
        <w:numPr>
          <w:ilvl w:val="0"/>
          <w:numId w:val="0"/>
        </w:numPr>
      </w:pPr>
      <w:r w:rsidRPr="00A0571F">
        <w:t>Amended assessments, objections and review</w:t>
      </w:r>
    </w:p>
    <w:p w14:paraId="7D850447" w14:textId="77777777" w:rsidR="00FB4A11" w:rsidRPr="008B4F48" w:rsidRDefault="00FB4A11" w:rsidP="00EB7EAF">
      <w:pPr>
        <w:pStyle w:val="Normalparatextwithnumbers"/>
        <w:ind w:hanging="567"/>
        <w:rPr>
          <w:rStyle w:val="References"/>
          <w:b w:val="0"/>
          <w:bCs w:val="0"/>
          <w:i w:val="0"/>
          <w:iCs w:val="0"/>
        </w:rPr>
      </w:pPr>
      <w:r>
        <w:t xml:space="preserve">The existing provisions in Subdivision 155-B in Schedule 1 to the TAA 1953, giving the Commissioner the power to make amended assessments, apply to assessments of GloBE top-up tax and Domestic top-up tax, subject to the period of review. If the Commissioner makes an amended assessment, any extra amount is due and payable 21 days after the Commissioner gives the notice of amended assessment. </w:t>
      </w:r>
      <w:r>
        <w:br/>
      </w:r>
      <w:r w:rsidRPr="0067347F">
        <w:rPr>
          <w:rStyle w:val="References"/>
        </w:rPr>
        <w:t xml:space="preserve">[Schedule xx, </w:t>
      </w:r>
      <w:r w:rsidRPr="00BE2F55">
        <w:rPr>
          <w:rStyle w:val="References"/>
        </w:rPr>
        <w:t>item</w:t>
      </w:r>
      <w:r>
        <w:rPr>
          <w:rStyle w:val="References"/>
        </w:rPr>
        <w:t xml:space="preserve"> 18, subsection 127-30(2) in Schedule 1 to the TAA 1953</w:t>
      </w:r>
      <w:r w:rsidRPr="0067347F">
        <w:rPr>
          <w:rStyle w:val="References"/>
        </w:rPr>
        <w:t xml:space="preserve">] </w:t>
      </w:r>
    </w:p>
    <w:p w14:paraId="73022448" w14:textId="4867569D" w:rsidR="00FB4A11" w:rsidRDefault="00FB4A11" w:rsidP="00EB7EAF">
      <w:pPr>
        <w:pStyle w:val="Normalparatextwithnumbers"/>
        <w:ind w:hanging="567"/>
      </w:pPr>
      <w:r>
        <w:t xml:space="preserve">The </w:t>
      </w:r>
      <w:r w:rsidRPr="00757325">
        <w:t>existing provisions in Division 3 of Part IVC of the TAA</w:t>
      </w:r>
      <w:r>
        <w:t xml:space="preserve"> 1953 </w:t>
      </w:r>
      <w:r w:rsidRPr="00757325">
        <w:t xml:space="preserve">concerning taxation objections apply </w:t>
      </w:r>
      <w:r>
        <w:t xml:space="preserve">in relation </w:t>
      </w:r>
      <w:r w:rsidRPr="00757325">
        <w:t xml:space="preserve">to assessments GloBE </w:t>
      </w:r>
      <w:r>
        <w:t>t</w:t>
      </w:r>
      <w:r w:rsidRPr="00757325">
        <w:t>op-</w:t>
      </w:r>
      <w:r>
        <w:t>u</w:t>
      </w:r>
      <w:r w:rsidRPr="00757325">
        <w:t xml:space="preserve">p </w:t>
      </w:r>
      <w:r>
        <w:t>t</w:t>
      </w:r>
      <w:r w:rsidRPr="00757325">
        <w:t xml:space="preserve">ax or </w:t>
      </w:r>
      <w:r>
        <w:t>Domestic top-up tax</w:t>
      </w:r>
      <w:r w:rsidRPr="00757325">
        <w:t xml:space="preserve">. </w:t>
      </w:r>
      <w:r>
        <w:t xml:space="preserve">Section 155-90 in Schedule 1 to the TAA 1953 provides that a taxpayer may object to an assessment using the provisions of Part IVC of the TAA 1953. Objections in relation to an assessment of an amount of GloBE </w:t>
      </w:r>
      <w:r w:rsidR="006F542F">
        <w:t>t</w:t>
      </w:r>
      <w:r>
        <w:t>op-</w:t>
      </w:r>
      <w:r w:rsidR="006F542F">
        <w:t>u</w:t>
      </w:r>
      <w:r>
        <w:t xml:space="preserve">p </w:t>
      </w:r>
      <w:r w:rsidR="006F542F">
        <w:t>t</w:t>
      </w:r>
      <w:r>
        <w:t>ax or Domestic top-up tax need to be made within 60 days after the notice of assessment is issued.</w:t>
      </w:r>
      <w:r>
        <w:br/>
      </w:r>
      <w:r w:rsidRPr="0023061B">
        <w:rPr>
          <w:rStyle w:val="References"/>
        </w:rPr>
        <w:t xml:space="preserve">[Schedule xx, </w:t>
      </w:r>
      <w:r w:rsidRPr="00BE2F55">
        <w:rPr>
          <w:rStyle w:val="References"/>
        </w:rPr>
        <w:t>item</w:t>
      </w:r>
      <w:r>
        <w:rPr>
          <w:rStyle w:val="References"/>
        </w:rPr>
        <w:t xml:space="preserve">s 16 and 17, </w:t>
      </w:r>
      <w:r w:rsidR="004E1382">
        <w:rPr>
          <w:rStyle w:val="References"/>
        </w:rPr>
        <w:t>subsection</w:t>
      </w:r>
      <w:r>
        <w:rPr>
          <w:rStyle w:val="References"/>
        </w:rPr>
        <w:t>s 14ZW(1)(bg) and (bgb) in Schedule 1 to the TAA 1953</w:t>
      </w:r>
      <w:r w:rsidRPr="0023061B">
        <w:rPr>
          <w:rStyle w:val="References"/>
        </w:rPr>
        <w:t xml:space="preserve">] </w:t>
      </w:r>
    </w:p>
    <w:p w14:paraId="3436CE2D" w14:textId="2241F288" w:rsidR="00FB4A11" w:rsidRDefault="00FB4A11" w:rsidP="00EB7EAF">
      <w:pPr>
        <w:pStyle w:val="Normalparatextwithnumbers"/>
        <w:ind w:hanging="567"/>
      </w:pPr>
      <w:r>
        <w:t xml:space="preserve">To facilitate assessments for GloBE top-up tax and Domestic top-up tax, decisions made in </w:t>
      </w:r>
      <w:r w:rsidR="004478D5">
        <w:t>the</w:t>
      </w:r>
      <w:r>
        <w:t xml:space="preserve"> process leading up to those assessments will be excluded from review under the </w:t>
      </w:r>
      <w:r w:rsidRPr="00D779F7">
        <w:rPr>
          <w:i/>
          <w:iCs/>
        </w:rPr>
        <w:t>Administrative Decisions (Judicial Review) Act</w:t>
      </w:r>
      <w:r>
        <w:rPr>
          <w:i/>
          <w:iCs/>
        </w:rPr>
        <w:t xml:space="preserve"> 1977</w:t>
      </w:r>
      <w:r>
        <w:t xml:space="preserve"> in line with the standard operation of Part IVC of the TAA 1953. </w:t>
      </w:r>
      <w:r>
        <w:br/>
      </w:r>
      <w:r w:rsidRPr="0049218D">
        <w:rPr>
          <w:rStyle w:val="References"/>
        </w:rPr>
        <w:t>[Schedule xx, item</w:t>
      </w:r>
      <w:r>
        <w:rPr>
          <w:rStyle w:val="References"/>
        </w:rPr>
        <w:t xml:space="preserve"> 1AA, </w:t>
      </w:r>
      <w:r w:rsidR="004E1382">
        <w:rPr>
          <w:rStyle w:val="References"/>
        </w:rPr>
        <w:t>subsection</w:t>
      </w:r>
      <w:r>
        <w:rPr>
          <w:rStyle w:val="References"/>
        </w:rPr>
        <w:t xml:space="preserve"> (e) of Schedule 1 to the </w:t>
      </w:r>
      <w:r w:rsidRPr="00D779F7">
        <w:rPr>
          <w:rStyle w:val="References"/>
        </w:rPr>
        <w:t>Administrative Decisions (Judicial Review) Act</w:t>
      </w:r>
      <w:r>
        <w:rPr>
          <w:rStyle w:val="References"/>
        </w:rPr>
        <w:t xml:space="preserve"> 1977</w:t>
      </w:r>
      <w:r w:rsidRPr="0049218D">
        <w:rPr>
          <w:rStyle w:val="References"/>
        </w:rPr>
        <w:t xml:space="preserve">] </w:t>
      </w:r>
      <w:r>
        <w:t xml:space="preserve"> </w:t>
      </w:r>
    </w:p>
    <w:p w14:paraId="35905D1B" w14:textId="77777777" w:rsidR="00FB4A11" w:rsidRPr="007A0945" w:rsidRDefault="00FB4A11" w:rsidP="00EB7EAF">
      <w:pPr>
        <w:pStyle w:val="Normalparatextwithnumbers"/>
        <w:ind w:hanging="567"/>
        <w:rPr>
          <w:rStyle w:val="References"/>
          <w:i w:val="0"/>
        </w:rPr>
      </w:pPr>
      <w:r w:rsidRPr="00AF1AC5">
        <w:rPr>
          <w:rStyle w:val="References"/>
          <w:b w:val="0"/>
          <w:bCs w:val="0"/>
          <w:i w:val="0"/>
          <w:iCs w:val="0"/>
        </w:rPr>
        <w:t xml:space="preserve">The period of review for an amount of GloBE top-up tax or </w:t>
      </w:r>
      <w:r>
        <w:rPr>
          <w:rStyle w:val="References"/>
          <w:b w:val="0"/>
          <w:bCs w:val="0"/>
          <w:i w:val="0"/>
          <w:iCs w:val="0"/>
        </w:rPr>
        <w:t>Domestic top-up tax</w:t>
      </w:r>
      <w:r w:rsidRPr="00AF1AC5">
        <w:rPr>
          <w:rStyle w:val="References"/>
          <w:b w:val="0"/>
          <w:bCs w:val="0"/>
          <w:i w:val="0"/>
          <w:iCs w:val="0"/>
        </w:rPr>
        <w:t xml:space="preserve"> is 4 years.</w:t>
      </w:r>
      <w:r>
        <w:rPr>
          <w:rStyle w:val="References"/>
          <w:b w:val="0"/>
          <w:bCs w:val="0"/>
          <w:i w:val="0"/>
          <w:iCs w:val="0"/>
        </w:rPr>
        <w:t xml:space="preserve"> For </w:t>
      </w:r>
      <w:r w:rsidRPr="00CC55E0">
        <w:rPr>
          <w:rStyle w:val="References"/>
          <w:b w:val="0"/>
          <w:bCs w:val="0"/>
          <w:i w:val="0"/>
          <w:iCs w:val="0"/>
        </w:rPr>
        <w:t xml:space="preserve">GloBE top-up tax, the period of review commences from the later of when the GloBE Information Return or the Australian GloBE Tax Return is lodged with the Commissioner. For </w:t>
      </w:r>
      <w:r>
        <w:rPr>
          <w:rStyle w:val="References"/>
          <w:b w:val="0"/>
          <w:bCs w:val="0"/>
          <w:i w:val="0"/>
          <w:iCs w:val="0"/>
        </w:rPr>
        <w:t>Domestic top-up tax</w:t>
      </w:r>
      <w:r w:rsidRPr="00CC55E0">
        <w:rPr>
          <w:rStyle w:val="References"/>
          <w:b w:val="0"/>
          <w:bCs w:val="0"/>
          <w:i w:val="0"/>
          <w:iCs w:val="0"/>
        </w:rPr>
        <w:t>, the period of review commences from the later of when the GloBE Information Return or the DMT Return is lodged with the Commissioner.</w:t>
      </w:r>
      <w:r>
        <w:rPr>
          <w:rStyle w:val="References"/>
          <w:b w:val="0"/>
          <w:bCs w:val="0"/>
          <w:i w:val="0"/>
          <w:iCs w:val="0"/>
        </w:rPr>
        <w:t xml:space="preserve"> </w:t>
      </w:r>
      <w:r w:rsidRPr="00AF1AC5">
        <w:rPr>
          <w:rStyle w:val="References"/>
          <w:b w:val="0"/>
          <w:bCs w:val="0"/>
          <w:i w:val="0"/>
          <w:iCs w:val="0"/>
        </w:rPr>
        <w:br/>
      </w:r>
      <w:r w:rsidRPr="0080752B">
        <w:rPr>
          <w:rStyle w:val="References"/>
        </w:rPr>
        <w:t xml:space="preserve">[Schedule xx, </w:t>
      </w:r>
      <w:r w:rsidRPr="00BE2F55">
        <w:rPr>
          <w:rStyle w:val="References"/>
        </w:rPr>
        <w:t>item</w:t>
      </w:r>
      <w:r>
        <w:rPr>
          <w:rStyle w:val="References"/>
        </w:rPr>
        <w:t xml:space="preserve"> 18</w:t>
      </w:r>
      <w:r w:rsidRPr="00BE2F55">
        <w:rPr>
          <w:rStyle w:val="References"/>
        </w:rPr>
        <w:t>,</w:t>
      </w:r>
      <w:r>
        <w:rPr>
          <w:rStyle w:val="References"/>
        </w:rPr>
        <w:t xml:space="preserve"> section 127</w:t>
      </w:r>
      <w:r>
        <w:rPr>
          <w:rStyle w:val="References"/>
        </w:rPr>
        <w:noBreakHyphen/>
        <w:t>35 in Schedule 1 to the TAA 1953</w:t>
      </w:r>
      <w:r w:rsidRPr="0080752B">
        <w:rPr>
          <w:rStyle w:val="References"/>
        </w:rPr>
        <w:t xml:space="preserve">] </w:t>
      </w:r>
    </w:p>
    <w:p w14:paraId="7E509698" w14:textId="77777777" w:rsidR="00FB4A11" w:rsidRPr="00D811AB" w:rsidRDefault="00FB4A11" w:rsidP="00FB4A11">
      <w:pPr>
        <w:pStyle w:val="Heading5"/>
        <w:numPr>
          <w:ilvl w:val="4"/>
          <w:numId w:val="2"/>
        </w:numPr>
      </w:pPr>
      <w:r w:rsidRPr="00D811AB">
        <w:lastRenderedPageBreak/>
        <w:t xml:space="preserve">Collection </w:t>
      </w:r>
      <w:r>
        <w:t xml:space="preserve">from tax consolidated groups </w:t>
      </w:r>
    </w:p>
    <w:p w14:paraId="74AE317D" w14:textId="77777777" w:rsidR="00FB4A11" w:rsidRDefault="00FB4A11" w:rsidP="00EB7EAF">
      <w:pPr>
        <w:pStyle w:val="Normalparatextwithnumbers"/>
        <w:ind w:hanging="567"/>
      </w:pPr>
      <w:r>
        <w:t>The amendments provide a collection mechanism to aid in the collection of the primary liability to GloBE top-up tax and Domestic top-up tax.</w:t>
      </w:r>
    </w:p>
    <w:p w14:paraId="59AD7461" w14:textId="77777777" w:rsidR="00FB4A11" w:rsidRDefault="00FB4A11" w:rsidP="00EB7EAF">
      <w:pPr>
        <w:pStyle w:val="Normalparatextwithnumbers"/>
        <w:ind w:hanging="567"/>
      </w:pPr>
      <w:r>
        <w:t xml:space="preserve">Special rules apply for Constituent Entities of an Applicable MNE Group who are located in Australia and are members of a tax consolidated group. These Constituent Entities are members of a </w:t>
      </w:r>
      <w:r>
        <w:rPr>
          <w:b/>
          <w:bCs/>
          <w:i/>
          <w:iCs/>
        </w:rPr>
        <w:t>GloBE consolidated group</w:t>
      </w:r>
      <w:r>
        <w:t xml:space="preserve"> and the head company of the GloBE consolidated group is liable to a </w:t>
      </w:r>
      <w:r>
        <w:rPr>
          <w:b/>
          <w:bCs/>
          <w:i/>
          <w:iCs/>
        </w:rPr>
        <w:t xml:space="preserve">GloBE consolidated group amount. </w:t>
      </w:r>
    </w:p>
    <w:p w14:paraId="6E56A3B3" w14:textId="1A549D67" w:rsidR="00FB4A11" w:rsidRDefault="00FB4A11" w:rsidP="00EB7EAF">
      <w:pPr>
        <w:pStyle w:val="Normalparatextwithnumbers"/>
        <w:ind w:hanging="567"/>
      </w:pPr>
      <w:r>
        <w:t xml:space="preserve">For GloBE top-up tax and Domestic top-up tax, the </w:t>
      </w:r>
      <w:r w:rsidRPr="00821E4E">
        <w:t xml:space="preserve">head company of </w:t>
      </w:r>
      <w:r>
        <w:t>the</w:t>
      </w:r>
      <w:r w:rsidRPr="00821E4E">
        <w:t xml:space="preserve"> </w:t>
      </w:r>
      <w:r>
        <w:t>tax consolidated group is liable for the total top-up tax that is allocated to a</w:t>
      </w:r>
      <w:r w:rsidRPr="00821E4E">
        <w:t xml:space="preserve">ll subsidiary members of the </w:t>
      </w:r>
      <w:r>
        <w:t>tax consolidated group. When the head company pays the group liability, each subsidiary member is taken to have paid the Commissioner at the same time. This administrative approach is designed to reduce the compliance burden for tax consolidated groups and is available only where all members of the tax consolidated group are within the same Applicable MNE Group.</w:t>
      </w:r>
      <w:r>
        <w:br/>
      </w:r>
      <w:r w:rsidRPr="00932803">
        <w:rPr>
          <w:rStyle w:val="References"/>
        </w:rPr>
        <w:t>[Schedule xx, item</w:t>
      </w:r>
      <w:r>
        <w:rPr>
          <w:rStyle w:val="References"/>
        </w:rPr>
        <w:t xml:space="preserve"> 18, sections 127-40, 127-45 and 127-55 in Schedule 1 to the TAA 1953</w:t>
      </w:r>
      <w:r w:rsidRPr="00932803">
        <w:rPr>
          <w:rStyle w:val="References"/>
        </w:rPr>
        <w:t xml:space="preserve">] </w:t>
      </w:r>
    </w:p>
    <w:p w14:paraId="0CD2EA8A" w14:textId="02F99737" w:rsidR="00FB4A11" w:rsidRDefault="00FB4A11" w:rsidP="00EB7EAF">
      <w:pPr>
        <w:pStyle w:val="Normalparatextwithnumbers"/>
        <w:ind w:hanging="567"/>
      </w:pPr>
      <w:r>
        <w:t>If the head company has overpaid the GloBE consolidated group amount, the Commissioner must refund the amount overpaid to the head company.</w:t>
      </w:r>
      <w:r>
        <w:br/>
      </w:r>
      <w:r w:rsidRPr="005B0182">
        <w:rPr>
          <w:rStyle w:val="References"/>
        </w:rPr>
        <w:t>[Schedule xx, item</w:t>
      </w:r>
      <w:r>
        <w:rPr>
          <w:rStyle w:val="References"/>
        </w:rPr>
        <w:t xml:space="preserve"> 18, section 127-55 in Schedule 1 to the TAA 1953</w:t>
      </w:r>
      <w:r w:rsidRPr="005B0182">
        <w:rPr>
          <w:rStyle w:val="References"/>
        </w:rPr>
        <w:t xml:space="preserve">] </w:t>
      </w:r>
      <w:r>
        <w:t xml:space="preserve"> </w:t>
      </w:r>
    </w:p>
    <w:p w14:paraId="127C61D0" w14:textId="77777777" w:rsidR="00FB4A11" w:rsidRPr="001A027D" w:rsidRDefault="00FB4A11" w:rsidP="00FB4A11">
      <w:pPr>
        <w:pStyle w:val="Heading5"/>
        <w:numPr>
          <w:ilvl w:val="4"/>
          <w:numId w:val="2"/>
        </w:numPr>
      </w:pPr>
      <w:r w:rsidRPr="001A027D">
        <w:t>Penalties</w:t>
      </w:r>
    </w:p>
    <w:p w14:paraId="48C12C73" w14:textId="2924D556" w:rsidR="00FB4A11" w:rsidRDefault="00FB4A11" w:rsidP="00EB7EAF">
      <w:pPr>
        <w:pStyle w:val="Normalparatextwithnumbers"/>
        <w:ind w:hanging="567"/>
      </w:pPr>
      <w:r>
        <w:t xml:space="preserve">As the Assessment </w:t>
      </w:r>
      <w:r w:rsidR="004F5B1B">
        <w:t>Bill</w:t>
      </w:r>
      <w:r>
        <w:t xml:space="preserve"> is a taxation law in respect of which the administrative penalties regime may apply, the amendments ensure these administrative penalties operate as intended. </w:t>
      </w:r>
    </w:p>
    <w:p w14:paraId="35D300FC" w14:textId="51DED6B2" w:rsidR="00FB4A11" w:rsidRPr="00042E1E" w:rsidRDefault="00FB4A11" w:rsidP="00EB7EAF">
      <w:pPr>
        <w:pStyle w:val="Normalparatextwithnumbers"/>
        <w:ind w:hanging="567"/>
      </w:pPr>
      <w:r w:rsidRPr="00FC00A7">
        <w:t xml:space="preserve">For the purpose of Division 284 of Schedule 1 to the TAA 1953, where a Constituent Entity of an Applicable MNE Group is taken to give a GloBE Information Return, Australian GloBE Tax Return or DMT Return to the Commissioner or a foreign government agency because a Designated Filing Entity, </w:t>
      </w:r>
      <w:r w:rsidR="00953104">
        <w:t>UPE</w:t>
      </w:r>
      <w:r w:rsidRPr="00FC00A7">
        <w:t xml:space="preserve"> or Designated Local Entity gives the return to the Commissioner or foreign government agency, statements made in that return are taken to be made by the filing entity as an agent of the Constituent Entity. This ensures that administrative penalties may apply for the Constituent Entity or the filing entity in respect statements made in those returns.</w:t>
      </w:r>
      <w:r w:rsidRPr="00FC00A7">
        <w:br/>
      </w:r>
      <w:r w:rsidRPr="00FC00A7">
        <w:rPr>
          <w:rStyle w:val="References"/>
        </w:rPr>
        <w:t>[Schedule xx, item 25A, section 284-27 of Schedule 1 to the TAA 1953]</w:t>
      </w:r>
    </w:p>
    <w:p w14:paraId="7AD988C7" w14:textId="169A71D9" w:rsidR="00FB4A11" w:rsidRDefault="00FB4A11" w:rsidP="00EB7EAF">
      <w:pPr>
        <w:pStyle w:val="Normalparatextwithnumbers"/>
        <w:ind w:hanging="567"/>
      </w:pPr>
      <w:r>
        <w:t xml:space="preserve">Statements made in a GloBE Information Return lodged in a foreign jurisdiction in respect of a MNE Group and exchanged with Australia under a Qualified Competent Authority Agreement will be taken to be </w:t>
      </w:r>
      <w:r w:rsidRPr="00C0669A">
        <w:t>statements</w:t>
      </w:r>
      <w:r>
        <w:t xml:space="preserve"> made</w:t>
      </w:r>
      <w:r w:rsidRPr="00C0669A">
        <w:t xml:space="preserve"> to the Commissioner</w:t>
      </w:r>
      <w:r>
        <w:t xml:space="preserve"> by each Constituent Entity located in Australia of that same Applicable MNE Group. </w:t>
      </w:r>
      <w:r>
        <w:br/>
      </w:r>
      <w:r w:rsidRPr="0072272B">
        <w:rPr>
          <w:rStyle w:val="References"/>
        </w:rPr>
        <w:lastRenderedPageBreak/>
        <w:t>[Schedule xx, item</w:t>
      </w:r>
      <w:r>
        <w:rPr>
          <w:rStyle w:val="References"/>
        </w:rPr>
        <w:t xml:space="preserve"> 25A</w:t>
      </w:r>
      <w:r w:rsidRPr="0072272B">
        <w:rPr>
          <w:rStyle w:val="References"/>
        </w:rPr>
        <w:t xml:space="preserve">, </w:t>
      </w:r>
      <w:r>
        <w:rPr>
          <w:rStyle w:val="References"/>
        </w:rPr>
        <w:t>subsection</w:t>
      </w:r>
      <w:r w:rsidR="00CD3E94">
        <w:rPr>
          <w:rStyle w:val="References"/>
        </w:rPr>
        <w:t>s</w:t>
      </w:r>
      <w:r>
        <w:rPr>
          <w:rStyle w:val="References"/>
        </w:rPr>
        <w:t xml:space="preserve"> 284-27(1) and (2) of Schedule 1 to the TAA 1953</w:t>
      </w:r>
      <w:r w:rsidRPr="0072272B">
        <w:rPr>
          <w:rStyle w:val="References"/>
        </w:rPr>
        <w:t xml:space="preserve">] </w:t>
      </w:r>
    </w:p>
    <w:p w14:paraId="06613435" w14:textId="073C3872" w:rsidR="00FB4A11" w:rsidRDefault="00FB4A11" w:rsidP="00EB7EAF">
      <w:pPr>
        <w:pStyle w:val="Normalparatextwithnumbers"/>
        <w:ind w:hanging="567"/>
      </w:pPr>
      <w:r>
        <w:t>Administrative penalties that apply to a Constituent Entity of an Applicable MNE Group in respect of false and misleading statements about GloBE top-up tax or Domestic top-up tax liabilities of the MNE Group are doubled. Administrative penalties that apply for failing to lodge a return, notice or other document in relation to GloBE top-up tax or Domestic top-up tax liabilities are 500 times the base penalty amount to align with the administrative penalties that apply to significant global entities.</w:t>
      </w:r>
      <w:r>
        <w:br/>
      </w:r>
      <w:r w:rsidRPr="00093D82">
        <w:rPr>
          <w:rStyle w:val="References"/>
        </w:rPr>
        <w:t>[Schedule xx,</w:t>
      </w:r>
      <w:r>
        <w:rPr>
          <w:rStyle w:val="References"/>
        </w:rPr>
        <w:t xml:space="preserve"> </w:t>
      </w:r>
      <w:r w:rsidRPr="00093D82">
        <w:rPr>
          <w:rStyle w:val="References"/>
        </w:rPr>
        <w:t>item</w:t>
      </w:r>
      <w:r>
        <w:rPr>
          <w:rStyle w:val="References"/>
        </w:rPr>
        <w:t>s 26 and 26A</w:t>
      </w:r>
      <w:r w:rsidRPr="00093D82">
        <w:rPr>
          <w:rStyle w:val="References"/>
        </w:rPr>
        <w:t xml:space="preserve">, </w:t>
      </w:r>
      <w:r>
        <w:rPr>
          <w:rStyle w:val="References"/>
        </w:rPr>
        <w:t>s</w:t>
      </w:r>
      <w:r w:rsidR="006001CF">
        <w:rPr>
          <w:rStyle w:val="References"/>
        </w:rPr>
        <w:t>ubs</w:t>
      </w:r>
      <w:r>
        <w:rPr>
          <w:rStyle w:val="References"/>
        </w:rPr>
        <w:t>ections 284-90(1C)</w:t>
      </w:r>
      <w:r w:rsidR="006001CF">
        <w:rPr>
          <w:rStyle w:val="References"/>
        </w:rPr>
        <w:t xml:space="preserve"> and 286-80(4C)</w:t>
      </w:r>
      <w:r>
        <w:rPr>
          <w:rStyle w:val="References"/>
        </w:rPr>
        <w:t xml:space="preserve"> </w:t>
      </w:r>
      <w:r w:rsidR="006001CF">
        <w:rPr>
          <w:rStyle w:val="References"/>
        </w:rPr>
        <w:t xml:space="preserve"> and</w:t>
      </w:r>
      <w:r>
        <w:rPr>
          <w:rStyle w:val="References"/>
        </w:rPr>
        <w:t xml:space="preserve"> </w:t>
      </w:r>
      <w:r w:rsidR="004E1382">
        <w:rPr>
          <w:rStyle w:val="References"/>
        </w:rPr>
        <w:t>subsection</w:t>
      </w:r>
      <w:r>
        <w:rPr>
          <w:rStyle w:val="References"/>
        </w:rPr>
        <w:t xml:space="preserve"> 286</w:t>
      </w:r>
      <w:r>
        <w:rPr>
          <w:rStyle w:val="References"/>
        </w:rPr>
        <w:noBreakHyphen/>
        <w:t>80(1)(b) in Schedule 1 to the TAA 1953</w:t>
      </w:r>
      <w:r w:rsidR="006001CF">
        <w:rPr>
          <w:rStyle w:val="References"/>
        </w:rPr>
        <w:t>]</w:t>
      </w:r>
    </w:p>
    <w:p w14:paraId="5A1C76BF" w14:textId="77777777" w:rsidR="00FB4A11" w:rsidRDefault="00FB4A11" w:rsidP="00FB4A11">
      <w:pPr>
        <w:pStyle w:val="Heading5"/>
        <w:numPr>
          <w:ilvl w:val="4"/>
          <w:numId w:val="2"/>
        </w:numPr>
      </w:pPr>
      <w:r>
        <w:t>Further machinery provisions</w:t>
      </w:r>
    </w:p>
    <w:p w14:paraId="11045EA6" w14:textId="65AC92C0" w:rsidR="00FB4A11" w:rsidRDefault="00FB4A11" w:rsidP="00EB7EAF">
      <w:pPr>
        <w:pStyle w:val="Normalparatextwithnumbers"/>
        <w:ind w:hanging="567"/>
      </w:pPr>
      <w:r>
        <w:t xml:space="preserve">The amendments ensure that entities will be able to seek rulings on the application of the Assessment </w:t>
      </w:r>
      <w:r w:rsidR="004F5B1B">
        <w:t>Bill</w:t>
      </w:r>
      <w:r>
        <w:t>.</w:t>
      </w:r>
      <w:r>
        <w:br/>
      </w:r>
      <w:r w:rsidRPr="00283271">
        <w:rPr>
          <w:rStyle w:val="References"/>
        </w:rPr>
        <w:t xml:space="preserve">[Schedule </w:t>
      </w:r>
      <w:r>
        <w:rPr>
          <w:rStyle w:val="References"/>
        </w:rPr>
        <w:t>xx</w:t>
      </w:r>
      <w:r w:rsidRPr="00283271">
        <w:rPr>
          <w:rStyle w:val="References"/>
        </w:rPr>
        <w:t>, item</w:t>
      </w:r>
      <w:r>
        <w:rPr>
          <w:rStyle w:val="References"/>
        </w:rPr>
        <w:t xml:space="preserve"> 28</w:t>
      </w:r>
      <w:r w:rsidRPr="00283271">
        <w:rPr>
          <w:rStyle w:val="References"/>
        </w:rPr>
        <w:t xml:space="preserve">, </w:t>
      </w:r>
      <w:r w:rsidR="004E1382">
        <w:rPr>
          <w:rStyle w:val="References"/>
        </w:rPr>
        <w:t>subsection</w:t>
      </w:r>
      <w:r>
        <w:rPr>
          <w:rStyle w:val="References"/>
        </w:rPr>
        <w:t>s 357-55(ff) and (fg) in Schedule 1 to the TAA 1953</w:t>
      </w:r>
      <w:r w:rsidRPr="00283271">
        <w:rPr>
          <w:rStyle w:val="References"/>
        </w:rPr>
        <w:t xml:space="preserve">] </w:t>
      </w:r>
    </w:p>
    <w:p w14:paraId="6FAFB0F0" w14:textId="774D3959" w:rsidR="00FB4A11" w:rsidRDefault="00FB4A11" w:rsidP="00EB7EAF">
      <w:pPr>
        <w:pStyle w:val="Normalparatextwithnumbers"/>
        <w:ind w:hanging="567"/>
      </w:pPr>
      <w:r>
        <w:t xml:space="preserve">The amendments ensure that general interest charge applies to the late payment of any tax-related liability that arises under the Assessment </w:t>
      </w:r>
      <w:r w:rsidR="004F5B1B">
        <w:t>Bill</w:t>
      </w:r>
      <w:r>
        <w:t xml:space="preserve">. </w:t>
      </w:r>
      <w:r>
        <w:br/>
      </w:r>
      <w:r w:rsidRPr="00B7007D">
        <w:rPr>
          <w:rStyle w:val="References"/>
        </w:rPr>
        <w:t>[Schedule xx, item</w:t>
      </w:r>
      <w:r>
        <w:rPr>
          <w:rStyle w:val="References"/>
        </w:rPr>
        <w:t xml:space="preserve"> 15, the table in subsection 8AAB(4) of the TAA 1953]</w:t>
      </w:r>
      <w:r w:rsidRPr="00B7007D">
        <w:rPr>
          <w:rStyle w:val="References"/>
        </w:rPr>
        <w:t xml:space="preserve"> </w:t>
      </w:r>
    </w:p>
    <w:p w14:paraId="4223CE97" w14:textId="57D8BD52" w:rsidR="00FB4A11" w:rsidRDefault="00FB4A11" w:rsidP="00EB7EAF">
      <w:pPr>
        <w:pStyle w:val="Normalparatextwithnumbers"/>
        <w:ind w:hanging="567"/>
      </w:pPr>
      <w:r>
        <w:t>The amendments ensure that shortfall interest charge applies to any shortfall that arises as a result of amendments made by the Commissioner.</w:t>
      </w:r>
      <w:r>
        <w:br/>
      </w:r>
      <w:r w:rsidRPr="00093D82">
        <w:rPr>
          <w:rStyle w:val="References"/>
        </w:rPr>
        <w:t>[Schedule xx, item</w:t>
      </w:r>
      <w:r>
        <w:rPr>
          <w:rStyle w:val="References"/>
        </w:rPr>
        <w:t>s 15, 22 to 25</w:t>
      </w:r>
      <w:r w:rsidRPr="00093D82">
        <w:rPr>
          <w:rStyle w:val="References"/>
        </w:rPr>
        <w:t xml:space="preserve">, </w:t>
      </w:r>
      <w:r>
        <w:rPr>
          <w:rStyle w:val="References"/>
        </w:rPr>
        <w:t>sections 280-1, 280-50</w:t>
      </w:r>
      <w:r w:rsidR="006001CF">
        <w:rPr>
          <w:rStyle w:val="References"/>
        </w:rPr>
        <w:t xml:space="preserve"> and</w:t>
      </w:r>
      <w:r>
        <w:rPr>
          <w:rStyle w:val="References"/>
        </w:rPr>
        <w:t xml:space="preserve"> 280-102E and </w:t>
      </w:r>
      <w:r w:rsidR="006001CF">
        <w:rPr>
          <w:rStyle w:val="References"/>
        </w:rPr>
        <w:t xml:space="preserve">subsection </w:t>
      </w:r>
      <w:r>
        <w:rPr>
          <w:rStyle w:val="References"/>
        </w:rPr>
        <w:t>280</w:t>
      </w:r>
      <w:r>
        <w:rPr>
          <w:rStyle w:val="References"/>
        </w:rPr>
        <w:noBreakHyphen/>
        <w:t>110(1) in Schedule 1 to the TAA 1953</w:t>
      </w:r>
      <w:r w:rsidRPr="00093D82">
        <w:rPr>
          <w:rStyle w:val="References"/>
        </w:rPr>
        <w:t xml:space="preserve">] </w:t>
      </w:r>
      <w:r>
        <w:t xml:space="preserve"> </w:t>
      </w:r>
    </w:p>
    <w:p w14:paraId="72B943CE" w14:textId="77777777" w:rsidR="00FB4A11" w:rsidRDefault="00FB4A11" w:rsidP="00FB4A11">
      <w:pPr>
        <w:pStyle w:val="Heading5"/>
        <w:numPr>
          <w:ilvl w:val="4"/>
          <w:numId w:val="2"/>
        </w:numPr>
      </w:pPr>
      <w:r>
        <w:t>Franking credits</w:t>
      </w:r>
    </w:p>
    <w:p w14:paraId="486B2494" w14:textId="60FA4195" w:rsidR="00FB4A11" w:rsidRDefault="00FB4A11" w:rsidP="00EB7EAF">
      <w:pPr>
        <w:pStyle w:val="Normalparatextwithnumbers"/>
        <w:ind w:hanging="567"/>
      </w:pPr>
      <w:r>
        <w:t>As Domestic top-up tax is a domestic tax, the payment of a Domestic top-up tax liability will generate franking credits. Similarly, a refund of Domestic top</w:t>
      </w:r>
      <w:r w:rsidR="00323B6A">
        <w:noBreakHyphen/>
      </w:r>
      <w:r>
        <w:t>up tax will cause a franking debit to arise.</w:t>
      </w:r>
      <w:r>
        <w:br/>
      </w:r>
      <w:r w:rsidRPr="00E32197">
        <w:rPr>
          <w:rStyle w:val="References"/>
        </w:rPr>
        <w:t>[Schedule xx, item</w:t>
      </w:r>
      <w:r>
        <w:rPr>
          <w:rStyle w:val="References"/>
        </w:rPr>
        <w:t xml:space="preserve"> 3</w:t>
      </w:r>
      <w:r w:rsidRPr="00E32197">
        <w:rPr>
          <w:rStyle w:val="References"/>
        </w:rPr>
        <w:t xml:space="preserve">, </w:t>
      </w:r>
      <w:r>
        <w:rPr>
          <w:rStyle w:val="References"/>
        </w:rPr>
        <w:t>table item 9 in the table in section 205-15 of the ITAA 1997</w:t>
      </w:r>
      <w:r w:rsidRPr="00E32197">
        <w:rPr>
          <w:rStyle w:val="References"/>
        </w:rPr>
        <w:t xml:space="preserve">] </w:t>
      </w:r>
    </w:p>
    <w:p w14:paraId="51672D96" w14:textId="77777777" w:rsidR="00FB4A11" w:rsidRDefault="00FB4A11" w:rsidP="00EB7EAF">
      <w:pPr>
        <w:pStyle w:val="Normalparatextwithnumbers"/>
        <w:ind w:hanging="567"/>
      </w:pPr>
      <w:r>
        <w:t>As GloBE top-up tax is a top-up of low taxation in countries outside Australia, it is an international form of tax and will not give rise to franking credits.</w:t>
      </w:r>
    </w:p>
    <w:p w14:paraId="7E4CBBF0" w14:textId="77777777" w:rsidR="00FB4A11" w:rsidRPr="009F2CCC" w:rsidRDefault="00FB4A11" w:rsidP="00EB7EAF">
      <w:pPr>
        <w:pStyle w:val="Normalparatextwithnumbers"/>
        <w:ind w:hanging="567"/>
      </w:pPr>
      <w:bookmarkStart w:id="65" w:name="_Ref159833515"/>
      <w:r w:rsidRPr="00ED7639">
        <w:t>[</w:t>
      </w:r>
      <w:r w:rsidRPr="00ED7639">
        <w:rPr>
          <w:b/>
        </w:rPr>
        <w:t>Seeking stakeholder comments:</w:t>
      </w:r>
      <w:r w:rsidRPr="00ED7639">
        <w:t xml:space="preserve"> We are seeking views on timing issues in respect of franking credits and debits. In particular, at what point in time, or for what period of time, does a Constituent Entity of an Applicable MNE Group need to be a franking entity for Domestic top-up tax to give rise to a franking credit in the relevant franking account? In this regard, please see the text that is struck-out in both:</w:t>
      </w:r>
      <w:bookmarkEnd w:id="65"/>
    </w:p>
    <w:p w14:paraId="60D2EE55" w14:textId="77777777" w:rsidR="00FB4A11" w:rsidRPr="009F2CCC" w:rsidRDefault="00FB4A11" w:rsidP="009C1D73">
      <w:pPr>
        <w:pStyle w:val="Normalparatextwithnumbers"/>
        <w:numPr>
          <w:ilvl w:val="0"/>
          <w:numId w:val="39"/>
        </w:numPr>
      </w:pPr>
      <w:r w:rsidRPr="00ED7639">
        <w:t>item 9 of the table in item 3, subsection 205-15(1)</w:t>
      </w:r>
    </w:p>
    <w:p w14:paraId="170E0E5F" w14:textId="77777777" w:rsidR="00FB4A11" w:rsidRDefault="00FB4A11" w:rsidP="009C1D73">
      <w:pPr>
        <w:pStyle w:val="Normalparatextwithnumbers"/>
        <w:numPr>
          <w:ilvl w:val="0"/>
          <w:numId w:val="39"/>
        </w:numPr>
      </w:pPr>
      <w:r w:rsidRPr="00ED7639">
        <w:t>item 14 of the table in item 7, subsection 205-30(1)]</w:t>
      </w:r>
      <w:r>
        <w:t>.</w:t>
      </w:r>
    </w:p>
    <w:p w14:paraId="1149FDAC" w14:textId="77777777" w:rsidR="00FB4A11" w:rsidRDefault="00FB4A11" w:rsidP="00FB4A11">
      <w:pPr>
        <w:pStyle w:val="Heading5"/>
        <w:numPr>
          <w:ilvl w:val="4"/>
          <w:numId w:val="2"/>
        </w:numPr>
      </w:pPr>
      <w:r>
        <w:lastRenderedPageBreak/>
        <w:t>Non-deductibility of a payment of GloBE top-up tax or Domestic top-up tax</w:t>
      </w:r>
    </w:p>
    <w:p w14:paraId="5E957AF0" w14:textId="77777777" w:rsidR="00FB4A11" w:rsidRDefault="00FB4A11" w:rsidP="00EB7EAF">
      <w:pPr>
        <w:pStyle w:val="Normalparatextwithnumbers"/>
        <w:ind w:hanging="567"/>
      </w:pPr>
      <w:r>
        <w:t>The amendments prevent taxpayers from deducting payments of GloBE top-up tax or Domestic top-up tax. This is to avoid doubt that these payments would be deductible in the absence of a specific deduction denial provision.</w:t>
      </w:r>
      <w:r>
        <w:br/>
      </w:r>
      <w:r w:rsidRPr="00835C72">
        <w:rPr>
          <w:rStyle w:val="References"/>
        </w:rPr>
        <w:t xml:space="preserve">[Schedule </w:t>
      </w:r>
      <w:r>
        <w:rPr>
          <w:rStyle w:val="References"/>
        </w:rPr>
        <w:t>xx</w:t>
      </w:r>
      <w:r w:rsidRPr="00835C72">
        <w:rPr>
          <w:rStyle w:val="References"/>
        </w:rPr>
        <w:t>, item</w:t>
      </w:r>
      <w:r>
        <w:rPr>
          <w:rStyle w:val="References"/>
        </w:rPr>
        <w:t>s 1 and 2</w:t>
      </w:r>
      <w:r w:rsidRPr="00835C72">
        <w:rPr>
          <w:rStyle w:val="References"/>
        </w:rPr>
        <w:t>, section</w:t>
      </w:r>
      <w:r>
        <w:rPr>
          <w:rStyle w:val="References"/>
        </w:rPr>
        <w:t>s 12</w:t>
      </w:r>
      <w:r>
        <w:rPr>
          <w:rStyle w:val="References"/>
        </w:rPr>
        <w:noBreakHyphen/>
        <w:t>5 and</w:t>
      </w:r>
      <w:r w:rsidRPr="00835C72">
        <w:rPr>
          <w:rStyle w:val="References"/>
        </w:rPr>
        <w:t xml:space="preserve"> 2</w:t>
      </w:r>
      <w:r>
        <w:rPr>
          <w:rStyle w:val="References"/>
        </w:rPr>
        <w:t>6</w:t>
      </w:r>
      <w:r>
        <w:rPr>
          <w:rStyle w:val="References"/>
        </w:rPr>
        <w:noBreakHyphen/>
        <w:t>99A</w:t>
      </w:r>
      <w:r w:rsidRPr="00835C72">
        <w:rPr>
          <w:rStyle w:val="References"/>
        </w:rPr>
        <w:t xml:space="preserve"> of the ITAA 1997]</w:t>
      </w:r>
    </w:p>
    <w:p w14:paraId="279A1FA8" w14:textId="2310E5C7" w:rsidR="00FB4A11" w:rsidRPr="00A56D83" w:rsidRDefault="00FB4A11" w:rsidP="00EB7EAF">
      <w:pPr>
        <w:pStyle w:val="Normalparatextwithnumbers"/>
        <w:ind w:hanging="567"/>
        <w:rPr>
          <w:rStyle w:val="References"/>
          <w:b w:val="0"/>
          <w:bCs w:val="0"/>
          <w:i w:val="0"/>
          <w:iCs w:val="0"/>
        </w:rPr>
      </w:pPr>
      <w:r>
        <w:t xml:space="preserve">Although payments of the tax liabilities will not be deductible, expenses incurred in managing GloBE and DMT tax affairs and complying with the obligations relating to GloBE and DMT tax affairs, other than the payments of those tax liabilities, will be deductible. This includes expenses incurred to seek advice on whether an entity is </w:t>
      </w:r>
      <w:r w:rsidRPr="002808E3">
        <w:t>a</w:t>
      </w:r>
      <w:r>
        <w:t xml:space="preserve"> Constituent Entity </w:t>
      </w:r>
      <w:r w:rsidRPr="002808E3">
        <w:t>of an MNE Group</w:t>
      </w:r>
      <w:r>
        <w:t>.</w:t>
      </w:r>
      <w:r>
        <w:br/>
      </w:r>
      <w:r w:rsidRPr="00DC3CDF">
        <w:rPr>
          <w:rStyle w:val="References"/>
        </w:rPr>
        <w:t>[Schedule xx, item</w:t>
      </w:r>
      <w:r>
        <w:rPr>
          <w:rStyle w:val="References"/>
        </w:rPr>
        <w:t xml:space="preserve"> 1A,</w:t>
      </w:r>
      <w:r w:rsidRPr="00DC3CDF">
        <w:rPr>
          <w:rStyle w:val="References"/>
        </w:rPr>
        <w:t xml:space="preserve"> </w:t>
      </w:r>
      <w:r w:rsidR="00C360D5">
        <w:rPr>
          <w:rStyle w:val="References"/>
        </w:rPr>
        <w:t>subsection</w:t>
      </w:r>
      <w:r>
        <w:rPr>
          <w:rStyle w:val="References"/>
        </w:rPr>
        <w:t>s 25-5(1)(e) and (f) of the ITAA 1997]</w:t>
      </w:r>
      <w:r w:rsidRPr="00DC3CDF">
        <w:rPr>
          <w:rStyle w:val="References"/>
        </w:rPr>
        <w:t xml:space="preserve"> </w:t>
      </w:r>
    </w:p>
    <w:p w14:paraId="5EBD3B08" w14:textId="49D71F10" w:rsidR="00FB4A11" w:rsidRDefault="00FB4A11" w:rsidP="00EB7EAF">
      <w:pPr>
        <w:pStyle w:val="Normalparatextwithnumbers"/>
        <w:ind w:hanging="567"/>
      </w:pPr>
      <w:r>
        <w:t>E</w:t>
      </w:r>
      <w:r w:rsidRPr="00600354">
        <w:t xml:space="preserve">xpenditure is not capital expenditure merely because the </w:t>
      </w:r>
      <w:r>
        <w:t xml:space="preserve">GloBE tax affairs </w:t>
      </w:r>
      <w:r w:rsidRPr="00600354">
        <w:t>concerned relate to matters of a capital nature</w:t>
      </w:r>
      <w:r>
        <w:t>.</w:t>
      </w:r>
      <w:r>
        <w:br/>
      </w:r>
      <w:r w:rsidRPr="00ED061E">
        <w:rPr>
          <w:rStyle w:val="References"/>
        </w:rPr>
        <w:t>[Schedule xx, item</w:t>
      </w:r>
      <w:r>
        <w:rPr>
          <w:rStyle w:val="References"/>
        </w:rPr>
        <w:t xml:space="preserve"> 1B</w:t>
      </w:r>
      <w:r w:rsidRPr="00ED061E">
        <w:rPr>
          <w:rStyle w:val="References"/>
        </w:rPr>
        <w:t xml:space="preserve">, </w:t>
      </w:r>
      <w:r w:rsidR="00534994">
        <w:rPr>
          <w:rStyle w:val="References"/>
        </w:rPr>
        <w:t>subsection</w:t>
      </w:r>
      <w:r>
        <w:rPr>
          <w:rStyle w:val="References"/>
        </w:rPr>
        <w:t xml:space="preserve"> 25-5(4) of the ITAA 1997</w:t>
      </w:r>
      <w:r w:rsidRPr="00ED061E">
        <w:rPr>
          <w:rStyle w:val="References"/>
        </w:rPr>
        <w:t xml:space="preserve">] </w:t>
      </w:r>
    </w:p>
    <w:p w14:paraId="1C8E9B4B" w14:textId="77777777" w:rsidR="00FB4A11" w:rsidRPr="00CC62CF" w:rsidRDefault="00FB4A11" w:rsidP="00FB4A11">
      <w:pPr>
        <w:pStyle w:val="Heading5"/>
        <w:numPr>
          <w:ilvl w:val="4"/>
          <w:numId w:val="2"/>
        </w:numPr>
      </w:pPr>
      <w:r w:rsidRPr="00CC62CF">
        <w:t>Confidentiality of taxpayer information</w:t>
      </w:r>
    </w:p>
    <w:p w14:paraId="25E8499D" w14:textId="78C3B744" w:rsidR="00FB4A11" w:rsidRDefault="00FB4A11" w:rsidP="00EB7EAF">
      <w:pPr>
        <w:pStyle w:val="Normalparatextwithnumbers"/>
        <w:ind w:hanging="567"/>
      </w:pPr>
      <w:r>
        <w:t xml:space="preserve">The amendments amend the tax secrecy provisions under Division 355 in Schedule 1 to the TAA 1953 to allow taxation officers to disclose protected information about one Constituent Entity to another Constituent Entity of the same Applicable MNE Group for the purposes of administering the Assessment </w:t>
      </w:r>
      <w:r w:rsidR="004F5B1B">
        <w:t>Bill</w:t>
      </w:r>
      <w:r>
        <w:t xml:space="preserve">. The amendments also allow taxation officers to disclose protected information about a JV or JV subsidiary to a Constituent Entity, trustee or a partner that holds a direct ownership in that JV or JV subsidiary. </w:t>
      </w:r>
      <w:r>
        <w:br/>
      </w:r>
      <w:r w:rsidRPr="0018535A">
        <w:rPr>
          <w:rStyle w:val="References"/>
        </w:rPr>
        <w:t>[Schedule xx, item</w:t>
      </w:r>
      <w:r>
        <w:rPr>
          <w:rStyle w:val="References"/>
        </w:rPr>
        <w:t>s 26B and 26C</w:t>
      </w:r>
      <w:r w:rsidRPr="0018535A">
        <w:rPr>
          <w:rStyle w:val="References"/>
        </w:rPr>
        <w:t>,</w:t>
      </w:r>
      <w:r>
        <w:rPr>
          <w:rStyle w:val="References"/>
        </w:rPr>
        <w:t xml:space="preserve"> </w:t>
      </w:r>
      <w:r w:rsidR="00C360D5">
        <w:rPr>
          <w:rStyle w:val="References"/>
        </w:rPr>
        <w:t>subsection</w:t>
      </w:r>
      <w:r>
        <w:rPr>
          <w:rStyle w:val="References"/>
        </w:rPr>
        <w:t>s 355</w:t>
      </w:r>
      <w:r>
        <w:rPr>
          <w:rStyle w:val="References"/>
        </w:rPr>
        <w:noBreakHyphen/>
        <w:t>25(2)(fa), (fb), (h) and (j)</w:t>
      </w:r>
      <w:r w:rsidRPr="0018535A">
        <w:rPr>
          <w:rStyle w:val="References"/>
        </w:rPr>
        <w:t xml:space="preserve"> </w:t>
      </w:r>
      <w:r>
        <w:rPr>
          <w:rStyle w:val="References"/>
        </w:rPr>
        <w:t>in Schedule 1 to the TAA 1953</w:t>
      </w:r>
      <w:r w:rsidRPr="0018535A">
        <w:rPr>
          <w:rStyle w:val="References"/>
        </w:rPr>
        <w:t xml:space="preserve">] </w:t>
      </w:r>
      <w:r>
        <w:t xml:space="preserve"> </w:t>
      </w:r>
    </w:p>
    <w:p w14:paraId="5B5CDCCE" w14:textId="05794560" w:rsidR="00FB4A11" w:rsidRDefault="00FB4A11" w:rsidP="00EB7EAF">
      <w:pPr>
        <w:pStyle w:val="Normalparatextwithnumbers"/>
        <w:ind w:hanging="567"/>
      </w:pPr>
      <w:r>
        <w:t>The exemption ensures that taxation officers do not commit an offence where they disclose protected information</w:t>
      </w:r>
      <w:r w:rsidRPr="00222792">
        <w:t xml:space="preserve"> in </w:t>
      </w:r>
      <w:r>
        <w:t xml:space="preserve">the course of administering the Imposition </w:t>
      </w:r>
      <w:r w:rsidR="00E21795">
        <w:t>Bill</w:t>
      </w:r>
      <w:r>
        <w:t xml:space="preserve">, the Assessment </w:t>
      </w:r>
      <w:r w:rsidR="000E2C7B">
        <w:t>Bill</w:t>
      </w:r>
      <w:r>
        <w:t xml:space="preserve"> and the Rules.</w:t>
      </w:r>
    </w:p>
    <w:p w14:paraId="43C6A8B4" w14:textId="77777777" w:rsidR="00FB4A11" w:rsidRDefault="00FB4A11" w:rsidP="00FB4A11">
      <w:pPr>
        <w:pStyle w:val="Heading5"/>
        <w:numPr>
          <w:ilvl w:val="4"/>
          <w:numId w:val="2"/>
        </w:numPr>
      </w:pPr>
      <w:r>
        <w:t>Compatibility with tax treaties</w:t>
      </w:r>
    </w:p>
    <w:p w14:paraId="3742E0ED" w14:textId="3CC7E68C" w:rsidR="00FB4A11" w:rsidRDefault="00FB4A11" w:rsidP="00EB7EAF">
      <w:pPr>
        <w:pStyle w:val="Normalparatextwithnumbers"/>
        <w:ind w:hanging="567"/>
      </w:pPr>
      <w:r>
        <w:t xml:space="preserve">The Imposition </w:t>
      </w:r>
      <w:r w:rsidR="000E2C7B">
        <w:t>Bill</w:t>
      </w:r>
      <w:r>
        <w:t xml:space="preserve">, the Assessment </w:t>
      </w:r>
      <w:r w:rsidR="000E2C7B">
        <w:t>Bill</w:t>
      </w:r>
      <w:r>
        <w:t xml:space="preserve"> and </w:t>
      </w:r>
      <w:r w:rsidR="00A40A6E">
        <w:t>T</w:t>
      </w:r>
      <w:r>
        <w:t xml:space="preserve">he Rules apply in the event of any inconsistency between these laws and a provision of an Australian bilateral tax treaty, which has the force of law, unless expressed otherwise: subsection 5(3) of the </w:t>
      </w:r>
      <w:r w:rsidRPr="005E061A">
        <w:rPr>
          <w:i/>
          <w:iCs/>
        </w:rPr>
        <w:t>International Tax Agreements Act</w:t>
      </w:r>
      <w:r>
        <w:rPr>
          <w:i/>
          <w:iCs/>
        </w:rPr>
        <w:t xml:space="preserve"> 1953. </w:t>
      </w:r>
      <w:r w:rsidRPr="001F3358">
        <w:t>Th</w:t>
      </w:r>
      <w:r>
        <w:t>is approach is consistent</w:t>
      </w:r>
      <w:r w:rsidRPr="001F3358">
        <w:t xml:space="preserve"> with the </w:t>
      </w:r>
      <w:r>
        <w:t xml:space="preserve">OECD Inclusive Framework’s </w:t>
      </w:r>
      <w:r w:rsidRPr="001F3358">
        <w:t>inten</w:t>
      </w:r>
      <w:r>
        <w:t>tion</w:t>
      </w:r>
      <w:r w:rsidRPr="001F3358">
        <w:t xml:space="preserve"> for both the IIR and UTPR to be compatible with </w:t>
      </w:r>
      <w:r>
        <w:t xml:space="preserve">international tax agreements </w:t>
      </w:r>
      <w:r w:rsidRPr="001F3358">
        <w:t>based on the OECD Model</w:t>
      </w:r>
      <w:r>
        <w:t xml:space="preserve"> Tax Convention</w:t>
      </w:r>
      <w:r w:rsidRPr="001F3358">
        <w:t xml:space="preserve">. </w:t>
      </w:r>
      <w:r>
        <w:br/>
      </w:r>
      <w:r w:rsidRPr="00BE2C75">
        <w:rPr>
          <w:rStyle w:val="References"/>
        </w:rPr>
        <w:t>[</w:t>
      </w:r>
      <w:r w:rsidRPr="0018535A">
        <w:rPr>
          <w:rStyle w:val="References"/>
        </w:rPr>
        <w:t>Schedule xx, item</w:t>
      </w:r>
      <w:r>
        <w:rPr>
          <w:rStyle w:val="References"/>
        </w:rPr>
        <w:t xml:space="preserve"> </w:t>
      </w:r>
      <w:r w:rsidR="0054493D">
        <w:rPr>
          <w:rStyle w:val="References"/>
        </w:rPr>
        <w:t>19</w:t>
      </w:r>
      <w:r>
        <w:rPr>
          <w:rStyle w:val="References"/>
        </w:rPr>
        <w:t xml:space="preserve">, </w:t>
      </w:r>
      <w:r w:rsidRPr="00BE2C75">
        <w:rPr>
          <w:rStyle w:val="References"/>
        </w:rPr>
        <w:t>section 5 of the I</w:t>
      </w:r>
      <w:r>
        <w:rPr>
          <w:rStyle w:val="References"/>
        </w:rPr>
        <w:t>nternational Tax Agreements Act</w:t>
      </w:r>
      <w:r w:rsidRPr="00BE2C75">
        <w:rPr>
          <w:rStyle w:val="References"/>
        </w:rPr>
        <w:t xml:space="preserve"> 1953]</w:t>
      </w:r>
      <w:r>
        <w:t xml:space="preserve"> </w:t>
      </w:r>
    </w:p>
    <w:p w14:paraId="1BBBAE47" w14:textId="77777777" w:rsidR="00FB4A11" w:rsidRDefault="00FB4A11" w:rsidP="00FB4A11">
      <w:pPr>
        <w:pStyle w:val="Heading5"/>
        <w:numPr>
          <w:ilvl w:val="4"/>
          <w:numId w:val="2"/>
        </w:numPr>
      </w:pPr>
      <w:r>
        <w:lastRenderedPageBreak/>
        <w:t>Consequential amendments to other income tax provisions</w:t>
      </w:r>
    </w:p>
    <w:p w14:paraId="57AAEE6F" w14:textId="79141EEA" w:rsidR="00546592" w:rsidRPr="00546592" w:rsidRDefault="00FB4A11" w:rsidP="00EB7EAF">
      <w:pPr>
        <w:pStyle w:val="Normalparatextwithnumbers"/>
        <w:ind w:hanging="567"/>
      </w:pPr>
      <w:bookmarkStart w:id="66" w:name="_Ref159833526"/>
      <w:r w:rsidRPr="00ED7639">
        <w:t>[</w:t>
      </w:r>
      <w:r w:rsidRPr="00ED7639">
        <w:rPr>
          <w:b/>
        </w:rPr>
        <w:t>Seeking</w:t>
      </w:r>
      <w:r w:rsidRPr="00ED7639" w:rsidDel="00962C32">
        <w:rPr>
          <w:b/>
        </w:rPr>
        <w:t xml:space="preserve"> </w:t>
      </w:r>
      <w:r w:rsidRPr="00ED7639">
        <w:rPr>
          <w:b/>
        </w:rPr>
        <w:t>stakeholder comments:</w:t>
      </w:r>
      <w:r w:rsidRPr="00ED7639">
        <w:t xml:space="preserve"> We intend to legislate to ensure appropriate interactions with certain tax integrity and other rules, including foreign income tax offsets</w:t>
      </w:r>
      <w:r w:rsidR="000755D1" w:rsidRPr="00ED7639">
        <w:t xml:space="preserve"> and </w:t>
      </w:r>
      <w:r w:rsidRPr="00ED7639">
        <w:t>hybrid mismatch rules</w:t>
      </w:r>
      <w:r w:rsidR="000755D1" w:rsidRPr="00ED7639">
        <w:t>. We</w:t>
      </w:r>
      <w:r w:rsidRPr="00ED7639">
        <w:t xml:space="preserve"> are seeking </w:t>
      </w:r>
      <w:r w:rsidR="000755D1" w:rsidRPr="00ED7639">
        <w:t xml:space="preserve">stakeholder </w:t>
      </w:r>
      <w:r w:rsidRPr="00ED7639">
        <w:t xml:space="preserve">views on these interactions. In particular, it is intended </w:t>
      </w:r>
      <w:r w:rsidR="006B02A3" w:rsidRPr="00ED7639">
        <w:t>to</w:t>
      </w:r>
      <w:r w:rsidRPr="00ED7639">
        <w:t xml:space="preserve"> legislate to</w:t>
      </w:r>
      <w:r w:rsidR="006B02A3" w:rsidRPr="00ED7639">
        <w:t xml:space="preserve"> ensure that while a</w:t>
      </w:r>
      <w:r w:rsidR="00E33DE1" w:rsidRPr="00ED7639">
        <w:t xml:space="preserve"> FITO</w:t>
      </w:r>
      <w:r w:rsidR="007D2339" w:rsidRPr="00ED7639">
        <w:t xml:space="preserve"> will be available for </w:t>
      </w:r>
      <w:r w:rsidRPr="00ED7639">
        <w:t>top-up tax</w:t>
      </w:r>
      <w:r w:rsidR="007D2339" w:rsidRPr="00ED7639">
        <w:t>es imposed under a foreign jurisdiction’s QDMTT (including where the income is</w:t>
      </w:r>
      <w:r w:rsidR="00BA6588" w:rsidRPr="00ED7639">
        <w:t xml:space="preserve"> subject to tax in Australia </w:t>
      </w:r>
      <w:r w:rsidR="00B607D3" w:rsidRPr="00ED7639">
        <w:t>through our CFC rules) a FITO will not be available for top-up taxes imposed under a foreign jurisdiction’s IIR or UTPR</w:t>
      </w:r>
      <w:r w:rsidR="00F37012">
        <w:t xml:space="preserve">, </w:t>
      </w:r>
      <w:r w:rsidR="00F37012" w:rsidRPr="00F37012">
        <w:t>to avoid known circularity issues that arise if a FITO for such taxes were to be permitted</w:t>
      </w:r>
      <w:r w:rsidR="00F37012" w:rsidRPr="009E715D">
        <w:t xml:space="preserve">. This is consistent with paragraph 45 </w:t>
      </w:r>
      <w:r w:rsidR="00CF0984" w:rsidRPr="009E715D">
        <w:t xml:space="preserve">in Chapter 4 </w:t>
      </w:r>
      <w:r w:rsidR="00F37012" w:rsidRPr="009E715D">
        <w:t xml:space="preserve">of the Commentary </w:t>
      </w:r>
      <w:r w:rsidR="00CF0984" w:rsidRPr="009E715D">
        <w:t>(</w:t>
      </w:r>
      <w:r w:rsidR="00F37012" w:rsidRPr="009E715D">
        <w:t>page 96)</w:t>
      </w:r>
      <w:r w:rsidR="00D03F08" w:rsidRPr="009E715D">
        <w:t xml:space="preserve">. </w:t>
      </w:r>
      <w:r w:rsidR="005B4E9F" w:rsidRPr="009E715D">
        <w:rPr>
          <w:rStyle w:val="ui-provider"/>
        </w:rPr>
        <w:t xml:space="preserve">As the Commentary is the OECD document released on 14 February 2022 to complement the </w:t>
      </w:r>
      <w:r w:rsidR="00A53F5D" w:rsidRPr="009E715D">
        <w:rPr>
          <w:rStyle w:val="ui-provider"/>
        </w:rPr>
        <w:t>OECD</w:t>
      </w:r>
      <w:r w:rsidR="005B4E9F" w:rsidRPr="009E715D">
        <w:rPr>
          <w:rStyle w:val="ui-provider"/>
        </w:rPr>
        <w:t xml:space="preserve"> Model Rules, </w:t>
      </w:r>
      <w:r w:rsidR="005B4E9F">
        <w:t>this approach is consistent with the approach outlined in the OECD rules</w:t>
      </w:r>
      <w:r w:rsidR="005B4E9F" w:rsidRPr="009E715D">
        <w:rPr>
          <w:rStyle w:val="ui-provider"/>
        </w:rPr>
        <w:t>.</w:t>
      </w:r>
      <w:r w:rsidR="005B4E9F">
        <w:rPr>
          <w:rStyle w:val="ui-provider"/>
          <w:color w:val="FF0000"/>
        </w:rPr>
        <w:t xml:space="preserve"> </w:t>
      </w:r>
      <w:r w:rsidR="00D03F08" w:rsidRPr="00ED7639">
        <w:t xml:space="preserve">The amount of any </w:t>
      </w:r>
      <w:r w:rsidRPr="00ED7639">
        <w:t>offset would be subject to the conditions in Division 770 of the ITAA 199</w:t>
      </w:r>
      <w:r w:rsidR="00066E26" w:rsidRPr="00ED7639">
        <w:t>7</w:t>
      </w:r>
      <w:bookmarkEnd w:id="66"/>
      <w:r w:rsidR="00066E26" w:rsidRPr="00ED7639">
        <w:t>.</w:t>
      </w:r>
      <w:r w:rsidR="009946A9">
        <w:t xml:space="preserve"> </w:t>
      </w:r>
      <w:r w:rsidR="0052127D" w:rsidRPr="00ED7639">
        <w:t>Also, it is intended to legislate so that the hybrid mismatch rules (Div</w:t>
      </w:r>
      <w:r w:rsidR="004B3DEC" w:rsidRPr="00ED7639">
        <w:t>ision</w:t>
      </w:r>
      <w:r w:rsidR="0052127D" w:rsidRPr="00ED7639">
        <w:t xml:space="preserve"> 832 ITAA 1997) do not take into account top-up taxes imposed under a QDMTT, IIR or UTPR.</w:t>
      </w:r>
      <w:r w:rsidR="00066E26" w:rsidRPr="00ED7639">
        <w:t>]</w:t>
      </w:r>
      <w:r>
        <w:t xml:space="preserve"> </w:t>
      </w:r>
    </w:p>
    <w:sectPr w:rsidR="00546592" w:rsidRPr="00546592" w:rsidSect="00000BFC">
      <w:headerReference w:type="even" r:id="rId36"/>
      <w:headerReference w:type="default" r:id="rId37"/>
      <w:headerReference w:type="first" r:id="rId3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DD6F" w14:textId="77777777" w:rsidR="00547D73" w:rsidRDefault="00547D73">
      <w:pPr>
        <w:spacing w:before="0" w:after="0"/>
      </w:pPr>
      <w:r>
        <w:separator/>
      </w:r>
    </w:p>
  </w:endnote>
  <w:endnote w:type="continuationSeparator" w:id="0">
    <w:p w14:paraId="06F3400A" w14:textId="77777777" w:rsidR="00547D73" w:rsidRDefault="00547D73">
      <w:pPr>
        <w:spacing w:before="0" w:after="0"/>
      </w:pPr>
      <w:r>
        <w:continuationSeparator/>
      </w:r>
    </w:p>
  </w:endnote>
  <w:endnote w:type="continuationNotice" w:id="1">
    <w:p w14:paraId="56310908" w14:textId="77777777" w:rsidR="00547D73" w:rsidRDefault="00547D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36D3"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3675"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1AF3" w14:textId="77777777" w:rsidR="00862258" w:rsidRPr="006208CF" w:rsidRDefault="00862258" w:rsidP="005073A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641D" w14:textId="77777777" w:rsidR="00862258" w:rsidRDefault="00862258" w:rsidP="005073A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383" w14:textId="77777777" w:rsidR="00862258" w:rsidRPr="00091474" w:rsidRDefault="00862258"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E029" w14:textId="77777777" w:rsidR="007A2DBD" w:rsidRPr="00091474" w:rsidRDefault="007A2DBD" w:rsidP="005073A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C356" w14:textId="77777777" w:rsidR="005073A4" w:rsidRPr="006208CF" w:rsidRDefault="005073A4" w:rsidP="005073A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DE6C" w14:textId="77777777" w:rsidR="005073A4" w:rsidRDefault="005073A4" w:rsidP="005073A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D400" w14:textId="77777777" w:rsidR="005073A4" w:rsidRPr="00091474" w:rsidRDefault="005073A4" w:rsidP="005073A4">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5257" w14:textId="77777777" w:rsidR="00547D73" w:rsidRDefault="00547D73">
      <w:pPr>
        <w:spacing w:before="0" w:after="0"/>
      </w:pPr>
      <w:r>
        <w:separator/>
      </w:r>
    </w:p>
  </w:footnote>
  <w:footnote w:type="continuationSeparator" w:id="0">
    <w:p w14:paraId="0297988D" w14:textId="77777777" w:rsidR="00547D73" w:rsidRDefault="00547D73">
      <w:pPr>
        <w:spacing w:before="0" w:after="0"/>
      </w:pPr>
      <w:r>
        <w:continuationSeparator/>
      </w:r>
    </w:p>
  </w:footnote>
  <w:footnote w:type="continuationNotice" w:id="1">
    <w:p w14:paraId="55146FA2" w14:textId="77777777" w:rsidR="00547D73" w:rsidRDefault="00547D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3F05A96C" w14:textId="77777777" w:rsidR="007A2DBD" w:rsidRDefault="00E33EFB">
        <w:pPr>
          <w:pStyle w:val="Header"/>
        </w:pPr>
        <w:r>
          <w:rPr>
            <w:noProof/>
          </w:rPr>
          <w:pict w14:anchorId="20F28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A727" w14:textId="77777777" w:rsidR="007A2DBD" w:rsidRDefault="007A2D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B5A" w14:textId="1E598E36" w:rsidR="005073A4" w:rsidRPr="005073A4" w:rsidRDefault="00E33EFB" w:rsidP="005073A4">
    <w:pPr>
      <w:pStyle w:val="leftheader"/>
    </w:pPr>
    <w:r>
      <w:fldChar w:fldCharType="begin"/>
    </w:r>
    <w:r>
      <w:instrText xml:space="preserve"> STYLEREF "Chapter heading" \* MERGEFORMAT </w:instrText>
    </w:r>
    <w:r>
      <w:fldChar w:fldCharType="separate"/>
    </w:r>
    <w:r>
      <w:rPr>
        <w:noProof/>
      </w:rPr>
      <w:t>Taxation (Multinational—Global and Domestic Minimum Tax) Bill 2024</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70B8" w14:textId="162AD0F9" w:rsidR="005073A4" w:rsidRPr="001227A2" w:rsidRDefault="00E33EFB" w:rsidP="001227A2">
    <w:pPr>
      <w:pStyle w:val="rightheader"/>
    </w:pPr>
    <w:r>
      <w:fldChar w:fldCharType="begin"/>
    </w:r>
    <w:r>
      <w:instrText xml:space="preserve"> STYLEREF  "Bill Name"  \* MERGEFORMAT </w:instrText>
    </w:r>
    <w:r>
      <w:fldChar w:fldCharType="separate"/>
    </w:r>
    <w:r>
      <w:rPr>
        <w:noProof/>
      </w:rPr>
      <w:t>Taxation (Multinational—Global and Domestic Minimum Tax) Consequential Bill 2024</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EEC5" w14:textId="45E052F0" w:rsidR="005073A4" w:rsidRPr="001227A2" w:rsidRDefault="005073A4" w:rsidP="002425D9">
    <w:pPr>
      <w:pStyle w:val="right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702B" w14:textId="3C9BD0CC" w:rsidR="007A2DBD" w:rsidRPr="005073A4" w:rsidRDefault="00E33EFB" w:rsidP="005073A4">
    <w:pPr>
      <w:pStyle w:val="leftheader"/>
    </w:pPr>
    <w:r>
      <w:fldChar w:fldCharType="begin"/>
    </w:r>
    <w:r>
      <w:instrText xml:space="preserve"> STYLEREF "Chapter heading" \* MERGEFORMAT </w:instrText>
    </w:r>
    <w:r>
      <w:fldChar w:fldCharType="separate"/>
    </w:r>
    <w:r>
      <w:rPr>
        <w:noProof/>
      </w:rPr>
      <w:t>Taxation (Multinational—Global and Domestic Minimum Tax) Consequential Bill 2024</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3F3" w14:textId="4156FF46" w:rsidR="007A2DBD" w:rsidRPr="00A74B1A" w:rsidRDefault="00E33EFB" w:rsidP="00A74B1A">
    <w:pPr>
      <w:pStyle w:val="rightheader"/>
    </w:pPr>
    <w:r>
      <w:fldChar w:fldCharType="begin"/>
    </w:r>
    <w:r>
      <w:instrText xml:space="preserve"> STYLEREF "Bill Name" \* MERGEFORMAT </w:instrText>
    </w:r>
    <w:r>
      <w:fldChar w:fldCharType="separate"/>
    </w:r>
    <w:r>
      <w:rPr>
        <w:noProof/>
      </w:rPr>
      <w:t>Taxation (Multinational—Global and Domestic Minimum Tax) Consequential Bill 2024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719D" w14:textId="77777777" w:rsidR="000A293E" w:rsidRPr="00E50554" w:rsidRDefault="000A293E" w:rsidP="00E50554">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571A"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54FC" w14:textId="1F64938A"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C94A6E">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170"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5C70" w14:textId="05115648" w:rsidR="00862258" w:rsidRPr="00816825" w:rsidRDefault="00E33EFB" w:rsidP="002425D9">
    <w:pPr>
      <w:pStyle w:val="leftheader"/>
    </w:pPr>
    <w:r>
      <w:fldChar w:fldCharType="begin"/>
    </w:r>
    <w:r>
      <w:instrText xml:space="preserve"> STYLEREF  "Heading 1"  \* MERGEFORMAT </w:instrText>
    </w:r>
    <w:r>
      <w:fldChar w:fldCharType="separate"/>
    </w:r>
    <w:r>
      <w:rPr>
        <w:noProof/>
      </w:rPr>
      <w:t>Overview and context for Two-Pillar Solution in Australia</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8C5B" w14:textId="01235524" w:rsidR="00862258" w:rsidRPr="001227A2" w:rsidRDefault="00E33EFB" w:rsidP="001227A2">
    <w:pPr>
      <w:pStyle w:val="rightheader"/>
    </w:pPr>
    <w:r>
      <w:fldChar w:fldCharType="begin"/>
    </w:r>
    <w:r>
      <w:instrText xml:space="preserve"> STYLEREF  "Bill Name"  \* MERGEFORMAT </w:instrText>
    </w:r>
    <w:r>
      <w:fldChar w:fldCharType="separate"/>
    </w:r>
    <w:r>
      <w:rPr>
        <w:noProof/>
      </w:rPr>
      <w:t>Taxation (Multinational—Global and Domestic Minimum Tax) Consequential Bill 2024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863F" w14:textId="1D7461A4" w:rsidR="00862258" w:rsidRPr="001227A2" w:rsidRDefault="00862258" w:rsidP="002425D9">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E33EFB">
      <w:rPr>
        <w:noProof/>
        <w:lang w:val="en-US"/>
      </w:rPr>
      <w:t>Taxation (Multinational—Global and Domestic Minimum Tax) Consequential Bill 2024</w:t>
    </w:r>
    <w:r w:rsidRPr="001227A2">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B1EC" w14:textId="5BC94E6D" w:rsidR="007A2DBD" w:rsidRPr="005073A4" w:rsidRDefault="00E33EFB" w:rsidP="005073A4">
    <w:pPr>
      <w:pStyle w:val="leftheader"/>
    </w:pPr>
    <w:r>
      <w:fldChar w:fldCharType="begin"/>
    </w:r>
    <w:r>
      <w:instrText xml:space="preserve"> STYLEREF "Chapter heading" \* MERGEFORMAT </w:instrText>
    </w:r>
    <w:r>
      <w:fldChar w:fldCharType="separate"/>
    </w:r>
    <w:r>
      <w:rPr>
        <w:noProof/>
      </w:rPr>
      <w:t>Taxation (Multinational—Global and Domestic Minimum Tax) Imposition Bill 2024</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7803" w14:textId="17B5865D" w:rsidR="007A2DBD" w:rsidRPr="00862258" w:rsidRDefault="00E33EFB" w:rsidP="00862258">
    <w:pPr>
      <w:pStyle w:val="rightheader"/>
    </w:pPr>
    <w:r>
      <w:fldChar w:fldCharType="begin"/>
    </w:r>
    <w:r>
      <w:instrText xml:space="preserve"> STYLEREF "Bill Name" \* MERGEFORMAT </w:instrText>
    </w:r>
    <w:r>
      <w:fldChar w:fldCharType="separate"/>
    </w:r>
    <w:r>
      <w:rPr>
        <w:noProof/>
      </w:rPr>
      <w:t>Taxation (Multinational—Global and Domestic Minimum Tax) Consequential Bill 2024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273AD0"/>
    <w:multiLevelType w:val="multilevel"/>
    <w:tmpl w:val="5D784646"/>
    <w:lvl w:ilvl="0">
      <w:start w:val="1"/>
      <w:numFmt w:val="lowerLetter"/>
      <w:lvlText w:val="%1)"/>
      <w:lvlJc w:val="left"/>
      <w:pPr>
        <w:tabs>
          <w:tab w:val="num" w:pos="2274"/>
        </w:tabs>
        <w:ind w:left="2274" w:hanging="496"/>
      </w:pPr>
    </w:lvl>
    <w:lvl w:ilvl="1">
      <w:start w:val="1"/>
      <w:numFmt w:val="decimal"/>
      <w:lvlText w:val="%1.%2."/>
      <w:lvlJc w:val="left"/>
      <w:pPr>
        <w:tabs>
          <w:tab w:val="num" w:pos="2770"/>
        </w:tabs>
        <w:ind w:left="2770" w:hanging="496"/>
      </w:pPr>
    </w:lvl>
    <w:lvl w:ilvl="2">
      <w:start w:val="1"/>
      <w:numFmt w:val="decimal"/>
      <w:lvlText w:val="%1.%2.%3."/>
      <w:lvlJc w:val="left"/>
      <w:pPr>
        <w:tabs>
          <w:tab w:val="num" w:pos="3266"/>
        </w:tabs>
        <w:ind w:left="3266" w:hanging="496"/>
      </w:pPr>
    </w:lvl>
    <w:lvl w:ilvl="3">
      <w:start w:val="1"/>
      <w:numFmt w:val="decimal"/>
      <w:lvlText w:val="(%4)"/>
      <w:lvlJc w:val="left"/>
      <w:pPr>
        <w:ind w:left="3714" w:hanging="360"/>
      </w:pPr>
    </w:lvl>
    <w:lvl w:ilvl="4">
      <w:start w:val="1"/>
      <w:numFmt w:val="lowerLetter"/>
      <w:lvlText w:val="(%5)"/>
      <w:lvlJc w:val="left"/>
      <w:pPr>
        <w:ind w:left="4074" w:hanging="360"/>
      </w:pPr>
    </w:lvl>
    <w:lvl w:ilvl="5">
      <w:start w:val="1"/>
      <w:numFmt w:val="lowerRoman"/>
      <w:lvlText w:val="(%6)"/>
      <w:lvlJc w:val="left"/>
      <w:pPr>
        <w:ind w:left="4434" w:hanging="360"/>
      </w:pPr>
    </w:lvl>
    <w:lvl w:ilvl="6">
      <w:start w:val="1"/>
      <w:numFmt w:val="decimal"/>
      <w:lvlText w:val="%7."/>
      <w:lvlJc w:val="left"/>
      <w:pPr>
        <w:ind w:left="4794" w:hanging="360"/>
      </w:pPr>
    </w:lvl>
    <w:lvl w:ilvl="7">
      <w:start w:val="1"/>
      <w:numFmt w:val="lowerLetter"/>
      <w:lvlText w:val="%8."/>
      <w:lvlJc w:val="left"/>
      <w:pPr>
        <w:ind w:left="5154" w:hanging="360"/>
      </w:pPr>
    </w:lvl>
    <w:lvl w:ilvl="8">
      <w:start w:val="1"/>
      <w:numFmt w:val="lowerRoman"/>
      <w:lvlText w:val="%9."/>
      <w:lvlJc w:val="left"/>
      <w:pPr>
        <w:ind w:left="5514" w:hanging="360"/>
      </w:pPr>
    </w:lvl>
  </w:abstractNum>
  <w:abstractNum w:abstractNumId="3" w15:restartNumberingAfterBreak="0">
    <w:nsid w:val="0AED479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453032"/>
    <w:multiLevelType w:val="hybridMultilevel"/>
    <w:tmpl w:val="8D42934E"/>
    <w:lvl w:ilvl="0" w:tplc="AC82850C">
      <w:start w:val="1"/>
      <w:numFmt w:val="bullet"/>
      <w:lvlText w:val="-"/>
      <w:lvlJc w:val="left"/>
      <w:pPr>
        <w:ind w:left="1069" w:hanging="360"/>
      </w:pPr>
      <w:rPr>
        <w:rFonts w:ascii="Times New Roman" w:eastAsiaTheme="minorHAnsi" w:hAnsi="Times New Roman" w:cs="Times New Roman" w:hint="default"/>
        <w:b/>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8C3773"/>
    <w:multiLevelType w:val="hybridMultilevel"/>
    <w:tmpl w:val="0DCEFB16"/>
    <w:lvl w:ilvl="0" w:tplc="32A89E82">
      <w:start w:val="1"/>
      <w:numFmt w:val="bullet"/>
      <w:pStyle w:val="Bulletpoint1"/>
      <w:lvlText w:val=""/>
      <w:lvlJc w:val="left"/>
      <w:pPr>
        <w:ind w:left="360" w:hanging="360"/>
      </w:pPr>
      <w:rPr>
        <w:rFonts w:ascii="Symbol" w:hAnsi="Symbol" w:hint="default"/>
      </w:rPr>
    </w:lvl>
    <w:lvl w:ilvl="1" w:tplc="457E4576">
      <w:start w:val="1"/>
      <w:numFmt w:val="lowerLetter"/>
      <w:lvlText w:val="%2."/>
      <w:lvlJc w:val="left"/>
      <w:pPr>
        <w:ind w:left="1083" w:hanging="360"/>
      </w:pPr>
      <w:rPr>
        <w:b w:val="0"/>
        <w:bCs w:val="0"/>
      </w:rPr>
    </w:lvl>
    <w:lvl w:ilvl="2" w:tplc="0C09001B">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9" w15:restartNumberingAfterBreak="0">
    <w:nsid w:val="25D75E28"/>
    <w:multiLevelType w:val="hybridMultilevel"/>
    <w:tmpl w:val="EA066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9170CA0"/>
    <w:multiLevelType w:val="multilevel"/>
    <w:tmpl w:val="84A2B6A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9B9AA64"/>
    <w:multiLevelType w:val="hybridMultilevel"/>
    <w:tmpl w:val="FFFFFFFF"/>
    <w:lvl w:ilvl="0" w:tplc="199833A2">
      <w:numFmt w:val="none"/>
      <w:lvlText w:val=""/>
      <w:lvlJc w:val="left"/>
      <w:pPr>
        <w:tabs>
          <w:tab w:val="num" w:pos="360"/>
        </w:tabs>
      </w:pPr>
    </w:lvl>
    <w:lvl w:ilvl="1" w:tplc="40F0917E">
      <w:start w:val="1"/>
      <w:numFmt w:val="lowerLetter"/>
      <w:lvlText w:val="%2."/>
      <w:lvlJc w:val="left"/>
      <w:pPr>
        <w:ind w:left="1440" w:hanging="360"/>
      </w:pPr>
    </w:lvl>
    <w:lvl w:ilvl="2" w:tplc="F8F46922">
      <w:start w:val="1"/>
      <w:numFmt w:val="lowerRoman"/>
      <w:lvlText w:val="%3."/>
      <w:lvlJc w:val="right"/>
      <w:pPr>
        <w:ind w:left="2160" w:hanging="180"/>
      </w:pPr>
    </w:lvl>
    <w:lvl w:ilvl="3" w:tplc="AE20A21E">
      <w:start w:val="1"/>
      <w:numFmt w:val="decimal"/>
      <w:lvlText w:val="%4."/>
      <w:lvlJc w:val="left"/>
      <w:pPr>
        <w:ind w:left="2880" w:hanging="360"/>
      </w:pPr>
    </w:lvl>
    <w:lvl w:ilvl="4" w:tplc="01AA3760">
      <w:start w:val="1"/>
      <w:numFmt w:val="lowerLetter"/>
      <w:lvlText w:val="%5."/>
      <w:lvlJc w:val="left"/>
      <w:pPr>
        <w:ind w:left="3600" w:hanging="360"/>
      </w:pPr>
    </w:lvl>
    <w:lvl w:ilvl="5" w:tplc="B846C944">
      <w:start w:val="1"/>
      <w:numFmt w:val="lowerRoman"/>
      <w:lvlText w:val="%6."/>
      <w:lvlJc w:val="right"/>
      <w:pPr>
        <w:ind w:left="4320" w:hanging="180"/>
      </w:pPr>
    </w:lvl>
    <w:lvl w:ilvl="6" w:tplc="CF20A7DE">
      <w:start w:val="1"/>
      <w:numFmt w:val="decimal"/>
      <w:lvlText w:val="%7."/>
      <w:lvlJc w:val="left"/>
      <w:pPr>
        <w:ind w:left="5040" w:hanging="360"/>
      </w:pPr>
    </w:lvl>
    <w:lvl w:ilvl="7" w:tplc="64989C82">
      <w:start w:val="1"/>
      <w:numFmt w:val="lowerLetter"/>
      <w:lvlText w:val="%8."/>
      <w:lvlJc w:val="left"/>
      <w:pPr>
        <w:ind w:left="5760" w:hanging="360"/>
      </w:pPr>
    </w:lvl>
    <w:lvl w:ilvl="8" w:tplc="B4CA25CA">
      <w:start w:val="1"/>
      <w:numFmt w:val="lowerRoman"/>
      <w:lvlText w:val="%9."/>
      <w:lvlJc w:val="right"/>
      <w:pPr>
        <w:ind w:left="6480" w:hanging="180"/>
      </w:pPr>
    </w:lvl>
  </w:abstractNum>
  <w:abstractNum w:abstractNumId="12"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D75BD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9121F5C"/>
    <w:multiLevelType w:val="multilevel"/>
    <w:tmpl w:val="E17CDC1C"/>
    <w:name w:val="StandardNumberedList"/>
    <w:lvl w:ilvl="0">
      <w:start w:val="1"/>
      <w:numFmt w:val="decimal"/>
      <w:pStyle w:val="OutlineNumbered1"/>
      <w:lvlText w:val="%1."/>
      <w:lvlJc w:val="left"/>
      <w:pPr>
        <w:tabs>
          <w:tab w:val="num" w:pos="2274"/>
        </w:tabs>
        <w:ind w:left="2274" w:hanging="496"/>
      </w:pPr>
    </w:lvl>
    <w:lvl w:ilvl="1">
      <w:start w:val="1"/>
      <w:numFmt w:val="decimal"/>
      <w:pStyle w:val="OutlineNumbered2"/>
      <w:lvlText w:val="%1.%2."/>
      <w:lvlJc w:val="left"/>
      <w:pPr>
        <w:tabs>
          <w:tab w:val="num" w:pos="2770"/>
        </w:tabs>
        <w:ind w:left="2770" w:hanging="496"/>
      </w:pPr>
    </w:lvl>
    <w:lvl w:ilvl="2">
      <w:start w:val="1"/>
      <w:numFmt w:val="decimal"/>
      <w:pStyle w:val="OutlineNumbered3"/>
      <w:lvlText w:val="%1.%2.%3."/>
      <w:lvlJc w:val="left"/>
      <w:pPr>
        <w:tabs>
          <w:tab w:val="num" w:pos="3266"/>
        </w:tabs>
        <w:ind w:left="3266" w:hanging="496"/>
      </w:pPr>
    </w:lvl>
    <w:lvl w:ilvl="3">
      <w:start w:val="1"/>
      <w:numFmt w:val="decimal"/>
      <w:lvlText w:val="(%4)"/>
      <w:lvlJc w:val="left"/>
      <w:pPr>
        <w:ind w:left="3714" w:hanging="360"/>
      </w:pPr>
    </w:lvl>
    <w:lvl w:ilvl="4">
      <w:start w:val="1"/>
      <w:numFmt w:val="lowerLetter"/>
      <w:lvlText w:val="(%5)"/>
      <w:lvlJc w:val="left"/>
      <w:pPr>
        <w:ind w:left="4074" w:hanging="360"/>
      </w:pPr>
    </w:lvl>
    <w:lvl w:ilvl="5">
      <w:start w:val="1"/>
      <w:numFmt w:val="lowerRoman"/>
      <w:lvlText w:val="(%6)"/>
      <w:lvlJc w:val="left"/>
      <w:pPr>
        <w:ind w:left="4434" w:hanging="360"/>
      </w:pPr>
    </w:lvl>
    <w:lvl w:ilvl="6">
      <w:start w:val="1"/>
      <w:numFmt w:val="decimal"/>
      <w:lvlText w:val="%7."/>
      <w:lvlJc w:val="left"/>
      <w:pPr>
        <w:ind w:left="4794" w:hanging="360"/>
      </w:pPr>
    </w:lvl>
    <w:lvl w:ilvl="7">
      <w:start w:val="1"/>
      <w:numFmt w:val="lowerLetter"/>
      <w:lvlText w:val="%8."/>
      <w:lvlJc w:val="left"/>
      <w:pPr>
        <w:ind w:left="5154" w:hanging="360"/>
      </w:pPr>
    </w:lvl>
    <w:lvl w:ilvl="8">
      <w:start w:val="1"/>
      <w:numFmt w:val="lowerRoman"/>
      <w:lvlText w:val="%9."/>
      <w:lvlJc w:val="left"/>
      <w:pPr>
        <w:ind w:left="5514" w:hanging="360"/>
      </w:pPr>
    </w:lvl>
  </w:abstractNum>
  <w:abstractNum w:abstractNumId="15" w15:restartNumberingAfterBreak="0">
    <w:nsid w:val="3A836E0D"/>
    <w:multiLevelType w:val="multilevel"/>
    <w:tmpl w:val="542687A6"/>
    <w:name w:val="DotPointList"/>
    <w:lvl w:ilvl="0">
      <w:start w:val="1"/>
      <w:numFmt w:val="bullet"/>
      <w:lvlRestart w:val="0"/>
      <w:pStyle w:val="dotpoint"/>
      <w:lvlText w:val="•"/>
      <w:lvlJc w:val="left"/>
      <w:pPr>
        <w:tabs>
          <w:tab w:val="num" w:pos="1156"/>
        </w:tabs>
        <w:ind w:left="1156" w:hanging="284"/>
      </w:pPr>
      <w:rPr>
        <w:b w:val="0"/>
        <w:i w:val="0"/>
        <w:color w:val="000000"/>
      </w:rPr>
    </w:lvl>
    <w:lvl w:ilvl="1">
      <w:start w:val="1"/>
      <w:numFmt w:val="bullet"/>
      <w:pStyle w:val="dotpoint2"/>
      <w:lvlText w:val="–"/>
      <w:lvlJc w:val="left"/>
      <w:pPr>
        <w:tabs>
          <w:tab w:val="num" w:pos="1513"/>
        </w:tabs>
        <w:ind w:left="1513" w:hanging="357"/>
      </w:pPr>
      <w:rPr>
        <w:b w:val="0"/>
        <w:i w:val="0"/>
        <w:color w:val="000000"/>
      </w:rPr>
    </w:lvl>
    <w:lvl w:ilvl="2">
      <w:start w:val="1"/>
      <w:numFmt w:val="decimal"/>
      <w:lvlText w:val="%3"/>
      <w:lvlJc w:val="left"/>
      <w:pPr>
        <w:tabs>
          <w:tab w:val="num" w:pos="589"/>
        </w:tabs>
        <w:ind w:left="589" w:hanging="567"/>
      </w:pPr>
      <w:rPr>
        <w:b w:val="0"/>
        <w:i w:val="0"/>
        <w:color w:val="000000"/>
      </w:rPr>
    </w:lvl>
    <w:lvl w:ilvl="3">
      <w:start w:val="1"/>
      <w:numFmt w:val="decimal"/>
      <w:lvlText w:val="%4"/>
      <w:lvlJc w:val="left"/>
      <w:pPr>
        <w:tabs>
          <w:tab w:val="num" w:pos="1156"/>
        </w:tabs>
        <w:ind w:left="1156" w:hanging="567"/>
      </w:pPr>
      <w:rPr>
        <w:b w:val="0"/>
        <w:i w:val="0"/>
        <w:color w:val="000000"/>
      </w:rPr>
    </w:lvl>
    <w:lvl w:ilvl="4">
      <w:start w:val="1"/>
      <w:numFmt w:val="decimal"/>
      <w:lvlText w:val="%5"/>
      <w:lvlJc w:val="left"/>
      <w:pPr>
        <w:tabs>
          <w:tab w:val="num" w:pos="1723"/>
        </w:tabs>
        <w:ind w:left="1723" w:hanging="567"/>
      </w:pPr>
      <w:rPr>
        <w:b w:val="0"/>
        <w:i w:val="0"/>
        <w:color w:val="000000"/>
      </w:rPr>
    </w:lvl>
    <w:lvl w:ilvl="5">
      <w:start w:val="1"/>
      <w:numFmt w:val="decimal"/>
      <w:lvlText w:val="%6"/>
      <w:lvlJc w:val="left"/>
      <w:pPr>
        <w:tabs>
          <w:tab w:val="num" w:pos="2290"/>
        </w:tabs>
        <w:ind w:left="2290" w:hanging="567"/>
      </w:pPr>
      <w:rPr>
        <w:b w:val="0"/>
        <w:i w:val="0"/>
        <w:color w:val="000000"/>
      </w:rPr>
    </w:lvl>
    <w:lvl w:ilvl="6">
      <w:start w:val="1"/>
      <w:numFmt w:val="decimal"/>
      <w:lvlText w:val="%7"/>
      <w:lvlJc w:val="left"/>
      <w:pPr>
        <w:tabs>
          <w:tab w:val="num" w:pos="2857"/>
        </w:tabs>
        <w:ind w:left="2857" w:hanging="567"/>
      </w:pPr>
      <w:rPr>
        <w:b w:val="0"/>
        <w:i w:val="0"/>
        <w:color w:val="000000"/>
      </w:rPr>
    </w:lvl>
    <w:lvl w:ilvl="7">
      <w:start w:val="1"/>
      <w:numFmt w:val="decimal"/>
      <w:lvlText w:val="%8"/>
      <w:lvlJc w:val="left"/>
      <w:pPr>
        <w:tabs>
          <w:tab w:val="num" w:pos="3424"/>
        </w:tabs>
        <w:ind w:left="3424" w:hanging="567"/>
      </w:pPr>
      <w:rPr>
        <w:b w:val="0"/>
        <w:i w:val="0"/>
        <w:color w:val="000000"/>
      </w:rPr>
    </w:lvl>
    <w:lvl w:ilvl="8">
      <w:start w:val="1"/>
      <w:numFmt w:val="decimal"/>
      <w:lvlText w:val="%9"/>
      <w:lvlJc w:val="left"/>
      <w:pPr>
        <w:tabs>
          <w:tab w:val="num" w:pos="3991"/>
        </w:tabs>
        <w:ind w:left="3991" w:hanging="567"/>
      </w:pPr>
      <w:rPr>
        <w:b w:val="0"/>
        <w:i w:val="0"/>
        <w:color w:val="000000"/>
      </w:rPr>
    </w:lvl>
  </w:abstractNum>
  <w:abstractNum w:abstractNumId="16" w15:restartNumberingAfterBreak="0">
    <w:nsid w:val="3B5D2CC9"/>
    <w:multiLevelType w:val="multilevel"/>
    <w:tmpl w:val="4D5637E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7" w15:restartNumberingAfterBreak="0">
    <w:nsid w:val="410C1A9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9" w15:restartNumberingAfterBreak="0">
    <w:nsid w:val="5C29679F"/>
    <w:multiLevelType w:val="hybridMultilevel"/>
    <w:tmpl w:val="15666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869C5B"/>
    <w:multiLevelType w:val="hybridMultilevel"/>
    <w:tmpl w:val="FFFFFFFF"/>
    <w:lvl w:ilvl="0" w:tplc="AE58FFF2">
      <w:numFmt w:val="none"/>
      <w:lvlText w:val=""/>
      <w:lvlJc w:val="left"/>
      <w:pPr>
        <w:tabs>
          <w:tab w:val="num" w:pos="360"/>
        </w:tabs>
      </w:pPr>
    </w:lvl>
    <w:lvl w:ilvl="1" w:tplc="82AA4FAA">
      <w:start w:val="1"/>
      <w:numFmt w:val="lowerLetter"/>
      <w:lvlText w:val="%2."/>
      <w:lvlJc w:val="left"/>
      <w:pPr>
        <w:ind w:left="1440" w:hanging="360"/>
      </w:pPr>
    </w:lvl>
    <w:lvl w:ilvl="2" w:tplc="9490CBC4">
      <w:start w:val="1"/>
      <w:numFmt w:val="lowerRoman"/>
      <w:lvlText w:val="%3."/>
      <w:lvlJc w:val="right"/>
      <w:pPr>
        <w:ind w:left="2160" w:hanging="180"/>
      </w:pPr>
    </w:lvl>
    <w:lvl w:ilvl="3" w:tplc="93A00640">
      <w:start w:val="1"/>
      <w:numFmt w:val="decimal"/>
      <w:lvlText w:val="%4."/>
      <w:lvlJc w:val="left"/>
      <w:pPr>
        <w:ind w:left="2880" w:hanging="360"/>
      </w:pPr>
    </w:lvl>
    <w:lvl w:ilvl="4" w:tplc="FF0C24D4">
      <w:start w:val="1"/>
      <w:numFmt w:val="lowerLetter"/>
      <w:lvlText w:val="%5."/>
      <w:lvlJc w:val="left"/>
      <w:pPr>
        <w:ind w:left="3600" w:hanging="360"/>
      </w:pPr>
    </w:lvl>
    <w:lvl w:ilvl="5" w:tplc="20860A32">
      <w:start w:val="1"/>
      <w:numFmt w:val="lowerRoman"/>
      <w:lvlText w:val="%6."/>
      <w:lvlJc w:val="right"/>
      <w:pPr>
        <w:ind w:left="4320" w:hanging="180"/>
      </w:pPr>
    </w:lvl>
    <w:lvl w:ilvl="6" w:tplc="8740313E">
      <w:start w:val="1"/>
      <w:numFmt w:val="decimal"/>
      <w:lvlText w:val="%7."/>
      <w:lvlJc w:val="left"/>
      <w:pPr>
        <w:ind w:left="5040" w:hanging="360"/>
      </w:pPr>
    </w:lvl>
    <w:lvl w:ilvl="7" w:tplc="7D628B36">
      <w:start w:val="1"/>
      <w:numFmt w:val="lowerLetter"/>
      <w:lvlText w:val="%8."/>
      <w:lvlJc w:val="left"/>
      <w:pPr>
        <w:ind w:left="5760" w:hanging="360"/>
      </w:pPr>
    </w:lvl>
    <w:lvl w:ilvl="8" w:tplc="18D86E72">
      <w:start w:val="1"/>
      <w:numFmt w:val="lowerRoman"/>
      <w:lvlText w:val="%9."/>
      <w:lvlJc w:val="right"/>
      <w:pPr>
        <w:ind w:left="6480" w:hanging="180"/>
      </w:pPr>
    </w:lvl>
  </w:abstractNum>
  <w:abstractNum w:abstractNumId="21"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3" w15:restartNumberingAfterBreak="0">
    <w:nsid w:val="5FBC7E8D"/>
    <w:multiLevelType w:val="multilevel"/>
    <w:tmpl w:val="41A84E40"/>
    <w:name w:val="BaseTextParagraphList"/>
    <w:lvl w:ilvl="0">
      <w:start w:val="1"/>
      <w:numFmt w:val="decimal"/>
      <w:lvlRestart w:val="0"/>
      <w:pStyle w:val="base-text-paragraph"/>
      <w:lvlText w:val="%1."/>
      <w:lvlJc w:val="left"/>
      <w:pPr>
        <w:tabs>
          <w:tab w:val="num" w:pos="1837"/>
        </w:tabs>
        <w:ind w:left="993" w:firstLine="0"/>
      </w:pPr>
      <w:rPr>
        <w:b w:val="0"/>
        <w:i w:val="0"/>
        <w:color w:val="000000"/>
      </w:rPr>
    </w:lvl>
    <w:lvl w:ilvl="1">
      <w:start w:val="1"/>
      <w:numFmt w:val="lowerLetter"/>
      <w:lvlText w:val="%2."/>
      <w:lvlJc w:val="left"/>
      <w:pPr>
        <w:ind w:left="2163" w:hanging="360"/>
      </w:pPr>
      <w:rPr>
        <w:b w:val="0"/>
        <w:bCs w:val="0"/>
      </w:r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rPr>
        <w:rFonts w:hint="default"/>
      </w:rPr>
    </w:lvl>
    <w:lvl w:ilvl="5">
      <w:start w:val="1"/>
      <w:numFmt w:val="upperLetter"/>
      <w:lvlText w:val="%6."/>
      <w:lvlJc w:val="left"/>
      <w:pPr>
        <w:ind w:left="5223" w:hanging="360"/>
      </w:pPr>
      <w:rPr>
        <w:rFonts w:hint="default"/>
      </w:rPr>
    </w:lvl>
    <w:lvl w:ilvl="6" w:tentative="1">
      <w:start w:val="1"/>
      <w:numFmt w:val="decimal"/>
      <w:lvlText w:val="%7."/>
      <w:lvlJc w:val="left"/>
      <w:pPr>
        <w:ind w:left="5763" w:hanging="360"/>
      </w:pPr>
    </w:lvl>
    <w:lvl w:ilvl="7" w:tentative="1">
      <w:start w:val="1"/>
      <w:numFmt w:val="lowerLetter"/>
      <w:lvlText w:val="%8."/>
      <w:lvlJc w:val="left"/>
      <w:pPr>
        <w:ind w:left="6483" w:hanging="360"/>
      </w:pPr>
    </w:lvl>
    <w:lvl w:ilvl="8" w:tentative="1">
      <w:start w:val="1"/>
      <w:numFmt w:val="lowerRoman"/>
      <w:lvlText w:val="%9."/>
      <w:lvlJc w:val="right"/>
      <w:pPr>
        <w:ind w:left="7203" w:hanging="180"/>
      </w:pPr>
    </w:lvl>
  </w:abstractNum>
  <w:abstractNum w:abstractNumId="24"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E66B5"/>
    <w:multiLevelType w:val="multilevel"/>
    <w:tmpl w:val="D54C85AC"/>
    <w:name w:val="ExampleDotPointList"/>
    <w:lvl w:ilvl="0">
      <w:start w:val="1"/>
      <w:numFmt w:val="bullet"/>
      <w:lvlRestart w:val="0"/>
      <w:pStyle w:val="exampledotpoint10"/>
      <w:lvlText w:val="•"/>
      <w:lvlJc w:val="left"/>
      <w:pPr>
        <w:tabs>
          <w:tab w:val="num" w:pos="2517"/>
        </w:tabs>
        <w:ind w:left="2517" w:hanging="357"/>
      </w:pPr>
      <w:rPr>
        <w:b w:val="0"/>
        <w:i w:val="0"/>
        <w:color w:val="000000"/>
      </w:rPr>
    </w:lvl>
    <w:lvl w:ilvl="1">
      <w:start w:val="1"/>
      <w:numFmt w:val="bullet"/>
      <w:pStyle w:val="exampledotpoint20"/>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EF0E41"/>
    <w:multiLevelType w:val="hybridMultilevel"/>
    <w:tmpl w:val="FFFFFFFF"/>
    <w:lvl w:ilvl="0" w:tplc="913E9DFE">
      <w:numFmt w:val="none"/>
      <w:lvlText w:val=""/>
      <w:lvlJc w:val="left"/>
      <w:pPr>
        <w:tabs>
          <w:tab w:val="num" w:pos="360"/>
        </w:tabs>
      </w:pPr>
    </w:lvl>
    <w:lvl w:ilvl="1" w:tplc="A04C1D94">
      <w:start w:val="1"/>
      <w:numFmt w:val="lowerLetter"/>
      <w:lvlText w:val="%2."/>
      <w:lvlJc w:val="left"/>
      <w:pPr>
        <w:ind w:left="1440" w:hanging="360"/>
      </w:pPr>
    </w:lvl>
    <w:lvl w:ilvl="2" w:tplc="1D56BF10">
      <w:start w:val="1"/>
      <w:numFmt w:val="lowerRoman"/>
      <w:lvlText w:val="%3."/>
      <w:lvlJc w:val="right"/>
      <w:pPr>
        <w:ind w:left="2160" w:hanging="180"/>
      </w:pPr>
    </w:lvl>
    <w:lvl w:ilvl="3" w:tplc="39BE8CD6">
      <w:start w:val="1"/>
      <w:numFmt w:val="decimal"/>
      <w:lvlText w:val="%4."/>
      <w:lvlJc w:val="left"/>
      <w:pPr>
        <w:ind w:left="2880" w:hanging="360"/>
      </w:pPr>
    </w:lvl>
    <w:lvl w:ilvl="4" w:tplc="50206E2C">
      <w:start w:val="1"/>
      <w:numFmt w:val="lowerLetter"/>
      <w:lvlText w:val="%5."/>
      <w:lvlJc w:val="left"/>
      <w:pPr>
        <w:ind w:left="3600" w:hanging="360"/>
      </w:pPr>
    </w:lvl>
    <w:lvl w:ilvl="5" w:tplc="0E401C44">
      <w:start w:val="1"/>
      <w:numFmt w:val="lowerRoman"/>
      <w:lvlText w:val="%6."/>
      <w:lvlJc w:val="right"/>
      <w:pPr>
        <w:ind w:left="4320" w:hanging="180"/>
      </w:pPr>
    </w:lvl>
    <w:lvl w:ilvl="6" w:tplc="BF9AF828">
      <w:start w:val="1"/>
      <w:numFmt w:val="decimal"/>
      <w:lvlText w:val="%7."/>
      <w:lvlJc w:val="left"/>
      <w:pPr>
        <w:ind w:left="5040" w:hanging="360"/>
      </w:pPr>
    </w:lvl>
    <w:lvl w:ilvl="7" w:tplc="E188CAFA">
      <w:start w:val="1"/>
      <w:numFmt w:val="lowerLetter"/>
      <w:lvlText w:val="%8."/>
      <w:lvlJc w:val="left"/>
      <w:pPr>
        <w:ind w:left="5760" w:hanging="360"/>
      </w:pPr>
    </w:lvl>
    <w:lvl w:ilvl="8" w:tplc="4E7EA2D0">
      <w:start w:val="1"/>
      <w:numFmt w:val="lowerRoman"/>
      <w:lvlText w:val="%9."/>
      <w:lvlJc w:val="right"/>
      <w:pPr>
        <w:ind w:left="6480" w:hanging="180"/>
      </w:pPr>
    </w:lvl>
  </w:abstractNum>
  <w:num w:numId="1">
    <w:abstractNumId w:val="1"/>
  </w:num>
  <w:num w:numId="2">
    <w:abstractNumId w:val="27"/>
  </w:num>
  <w:num w:numId="3">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0"/>
    <w:lvlOverride w:ilvl="0"/>
  </w:num>
  <w:num w:numId="7">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2"/>
  </w:num>
  <w:num w:numId="9">
    <w:abstractNumId w:val="29"/>
  </w:num>
  <w:num w:numId="10">
    <w:abstractNumId w:val="21"/>
  </w:num>
  <w:num w:numId="11">
    <w:abstractNumId w:val="18"/>
  </w:num>
  <w:num w:numId="12">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7"/>
  </w:num>
  <w:num w:numId="14">
    <w:abstractNumId w:val="24"/>
  </w:num>
  <w:num w:numId="15">
    <w:abstractNumId w:val="26"/>
  </w:num>
  <w:num w:numId="16">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2"/>
  </w:num>
  <w:num w:numId="18">
    <w:abstractNumId w:val="6"/>
  </w:num>
  <w:num w:numId="19">
    <w:abstractNumId w:val="22"/>
  </w:num>
  <w:num w:numId="20">
    <w:abstractNumId w:val="28"/>
  </w:num>
  <w:num w:numId="21">
    <w:abstractNumId w:val="27"/>
  </w:num>
  <w:num w:numId="22">
    <w:abstractNumId w:val="5"/>
  </w:num>
  <w:num w:numId="23">
    <w:abstractNumId w:val="16"/>
  </w:num>
  <w:num w:numId="24">
    <w:abstractNumId w:val="10"/>
    <w:lvlOverride w:ilvl="0"/>
  </w:num>
  <w:num w:numId="25">
    <w:abstractNumId w:val="9"/>
  </w:num>
  <w:num w:numId="26">
    <w:abstractNumId w:val="15"/>
  </w:num>
  <w:num w:numId="27">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3"/>
  </w:num>
  <w:num w:numId="29">
    <w:abstractNumId w:val="12"/>
  </w:num>
  <w:num w:numId="30">
    <w:abstractNumId w:val="0"/>
  </w:num>
  <w:num w:numId="31">
    <w:abstractNumId w:val="19"/>
  </w:num>
  <w:num w:numId="32">
    <w:abstractNumId w:val="14"/>
  </w:num>
  <w:num w:numId="33">
    <w:abstractNumId w:val="2"/>
  </w:num>
  <w:num w:numId="34">
    <w:abstractNumId w:val="27"/>
  </w:num>
  <w:num w:numId="35">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5"/>
  </w:num>
  <w:num w:numId="37">
    <w:abstractNumId w:val="8"/>
  </w:num>
  <w:num w:numId="38">
    <w:abstractNumId w:val="7"/>
  </w:num>
  <w:num w:numId="39">
    <w:abstractNumId w:val="4"/>
  </w:num>
  <w:num w:numId="40">
    <w:abstractNumId w:val="11"/>
  </w:num>
  <w:num w:numId="41">
    <w:abstractNumId w:val="30"/>
  </w:num>
  <w:num w:numId="42">
    <w:abstractNumId w:val="20"/>
  </w:num>
  <w:num w:numId="43">
    <w:abstractNumId w:val="13"/>
  </w:num>
  <w:num w:numId="44">
    <w:abstractNumId w:val="10"/>
  </w:num>
  <w:num w:numId="45">
    <w:abstractNumId w:val="17"/>
  </w:num>
  <w:num w:numId="46">
    <w:abstractNumId w:val="3"/>
  </w:num>
  <w:num w:numId="47">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E3"/>
    <w:rsid w:val="000005D8"/>
    <w:rsid w:val="00000AD3"/>
    <w:rsid w:val="00000B05"/>
    <w:rsid w:val="00000BFC"/>
    <w:rsid w:val="00000C0E"/>
    <w:rsid w:val="0000128D"/>
    <w:rsid w:val="000012B7"/>
    <w:rsid w:val="00001565"/>
    <w:rsid w:val="00001941"/>
    <w:rsid w:val="0000205D"/>
    <w:rsid w:val="00002570"/>
    <w:rsid w:val="0000296A"/>
    <w:rsid w:val="00002977"/>
    <w:rsid w:val="00003124"/>
    <w:rsid w:val="00003461"/>
    <w:rsid w:val="00003AFB"/>
    <w:rsid w:val="0000418B"/>
    <w:rsid w:val="00004772"/>
    <w:rsid w:val="00004C6F"/>
    <w:rsid w:val="00004CDB"/>
    <w:rsid w:val="00004CE4"/>
    <w:rsid w:val="00004E4D"/>
    <w:rsid w:val="00005069"/>
    <w:rsid w:val="0000521E"/>
    <w:rsid w:val="0000670F"/>
    <w:rsid w:val="00006B89"/>
    <w:rsid w:val="00007E39"/>
    <w:rsid w:val="00010B52"/>
    <w:rsid w:val="00010BFE"/>
    <w:rsid w:val="00010C82"/>
    <w:rsid w:val="00010D5A"/>
    <w:rsid w:val="00010FD4"/>
    <w:rsid w:val="0001138C"/>
    <w:rsid w:val="00011510"/>
    <w:rsid w:val="000116A6"/>
    <w:rsid w:val="000121E8"/>
    <w:rsid w:val="00012845"/>
    <w:rsid w:val="00012878"/>
    <w:rsid w:val="00012ED9"/>
    <w:rsid w:val="00013218"/>
    <w:rsid w:val="00013E26"/>
    <w:rsid w:val="00014009"/>
    <w:rsid w:val="00014281"/>
    <w:rsid w:val="0001451F"/>
    <w:rsid w:val="00014548"/>
    <w:rsid w:val="00014607"/>
    <w:rsid w:val="00014E52"/>
    <w:rsid w:val="000150D2"/>
    <w:rsid w:val="00016012"/>
    <w:rsid w:val="00016288"/>
    <w:rsid w:val="00016678"/>
    <w:rsid w:val="000170B8"/>
    <w:rsid w:val="000170C0"/>
    <w:rsid w:val="0001741D"/>
    <w:rsid w:val="00017B8A"/>
    <w:rsid w:val="00017DDF"/>
    <w:rsid w:val="00017E11"/>
    <w:rsid w:val="00017E34"/>
    <w:rsid w:val="00020264"/>
    <w:rsid w:val="000207BC"/>
    <w:rsid w:val="00020C90"/>
    <w:rsid w:val="00021A3C"/>
    <w:rsid w:val="00021A7C"/>
    <w:rsid w:val="00021DAA"/>
    <w:rsid w:val="00022009"/>
    <w:rsid w:val="000229A5"/>
    <w:rsid w:val="00022A6A"/>
    <w:rsid w:val="00022F00"/>
    <w:rsid w:val="00023242"/>
    <w:rsid w:val="0002353C"/>
    <w:rsid w:val="0002392C"/>
    <w:rsid w:val="0002439E"/>
    <w:rsid w:val="00024489"/>
    <w:rsid w:val="0002456D"/>
    <w:rsid w:val="00024CE5"/>
    <w:rsid w:val="0002547E"/>
    <w:rsid w:val="00025CDD"/>
    <w:rsid w:val="000261CC"/>
    <w:rsid w:val="00026788"/>
    <w:rsid w:val="00026B1E"/>
    <w:rsid w:val="00027713"/>
    <w:rsid w:val="00027B1A"/>
    <w:rsid w:val="00027F19"/>
    <w:rsid w:val="000300EC"/>
    <w:rsid w:val="000302C2"/>
    <w:rsid w:val="000310D1"/>
    <w:rsid w:val="000312EC"/>
    <w:rsid w:val="00031315"/>
    <w:rsid w:val="0003168F"/>
    <w:rsid w:val="00031A33"/>
    <w:rsid w:val="00031A37"/>
    <w:rsid w:val="00031DEB"/>
    <w:rsid w:val="00031EA1"/>
    <w:rsid w:val="000323F2"/>
    <w:rsid w:val="000325E3"/>
    <w:rsid w:val="00032ED2"/>
    <w:rsid w:val="000331FB"/>
    <w:rsid w:val="0003357A"/>
    <w:rsid w:val="0003380A"/>
    <w:rsid w:val="00033DA5"/>
    <w:rsid w:val="00033FDA"/>
    <w:rsid w:val="000345F9"/>
    <w:rsid w:val="000345FB"/>
    <w:rsid w:val="000350F3"/>
    <w:rsid w:val="00035336"/>
    <w:rsid w:val="00035AFC"/>
    <w:rsid w:val="00035F85"/>
    <w:rsid w:val="00036908"/>
    <w:rsid w:val="00036FD4"/>
    <w:rsid w:val="000372D1"/>
    <w:rsid w:val="000372DE"/>
    <w:rsid w:val="000378F8"/>
    <w:rsid w:val="00040058"/>
    <w:rsid w:val="00040EC3"/>
    <w:rsid w:val="00041348"/>
    <w:rsid w:val="00041703"/>
    <w:rsid w:val="00041728"/>
    <w:rsid w:val="00041C1E"/>
    <w:rsid w:val="00041C43"/>
    <w:rsid w:val="00042204"/>
    <w:rsid w:val="00042D9B"/>
    <w:rsid w:val="000432BB"/>
    <w:rsid w:val="000435A8"/>
    <w:rsid w:val="000435F9"/>
    <w:rsid w:val="000439C9"/>
    <w:rsid w:val="00043B29"/>
    <w:rsid w:val="00043C5C"/>
    <w:rsid w:val="00043E8E"/>
    <w:rsid w:val="00043F68"/>
    <w:rsid w:val="00043F89"/>
    <w:rsid w:val="0004442B"/>
    <w:rsid w:val="000447E2"/>
    <w:rsid w:val="00044EC6"/>
    <w:rsid w:val="0004516E"/>
    <w:rsid w:val="00045173"/>
    <w:rsid w:val="000455EE"/>
    <w:rsid w:val="00045BEC"/>
    <w:rsid w:val="00046248"/>
    <w:rsid w:val="000464C4"/>
    <w:rsid w:val="000465BA"/>
    <w:rsid w:val="00046851"/>
    <w:rsid w:val="0004698A"/>
    <w:rsid w:val="00047B62"/>
    <w:rsid w:val="00047FBA"/>
    <w:rsid w:val="00047FDA"/>
    <w:rsid w:val="00047FF2"/>
    <w:rsid w:val="000500BB"/>
    <w:rsid w:val="00050723"/>
    <w:rsid w:val="00050985"/>
    <w:rsid w:val="00050A3C"/>
    <w:rsid w:val="00050D60"/>
    <w:rsid w:val="00050FA4"/>
    <w:rsid w:val="000514D3"/>
    <w:rsid w:val="000519B6"/>
    <w:rsid w:val="00051A4A"/>
    <w:rsid w:val="00051D19"/>
    <w:rsid w:val="000523A6"/>
    <w:rsid w:val="0005289D"/>
    <w:rsid w:val="000528E4"/>
    <w:rsid w:val="000529F6"/>
    <w:rsid w:val="000541A7"/>
    <w:rsid w:val="00054530"/>
    <w:rsid w:val="0005480D"/>
    <w:rsid w:val="00054EC0"/>
    <w:rsid w:val="0005634C"/>
    <w:rsid w:val="000563CF"/>
    <w:rsid w:val="000566E1"/>
    <w:rsid w:val="00056AB7"/>
    <w:rsid w:val="00056D6B"/>
    <w:rsid w:val="000573F0"/>
    <w:rsid w:val="00057491"/>
    <w:rsid w:val="00060549"/>
    <w:rsid w:val="00060CF7"/>
    <w:rsid w:val="00061210"/>
    <w:rsid w:val="00061922"/>
    <w:rsid w:val="000619B6"/>
    <w:rsid w:val="00062B06"/>
    <w:rsid w:val="00063924"/>
    <w:rsid w:val="00063C88"/>
    <w:rsid w:val="000641C0"/>
    <w:rsid w:val="000641F2"/>
    <w:rsid w:val="00064493"/>
    <w:rsid w:val="000645DF"/>
    <w:rsid w:val="00064959"/>
    <w:rsid w:val="00064A8C"/>
    <w:rsid w:val="00064AF0"/>
    <w:rsid w:val="00064DBD"/>
    <w:rsid w:val="00064E64"/>
    <w:rsid w:val="0006534F"/>
    <w:rsid w:val="000658FC"/>
    <w:rsid w:val="000662F4"/>
    <w:rsid w:val="000668B6"/>
    <w:rsid w:val="00066BFE"/>
    <w:rsid w:val="00066E26"/>
    <w:rsid w:val="00066E51"/>
    <w:rsid w:val="00066FA4"/>
    <w:rsid w:val="000675EB"/>
    <w:rsid w:val="00067944"/>
    <w:rsid w:val="00067BF1"/>
    <w:rsid w:val="00067D11"/>
    <w:rsid w:val="00070821"/>
    <w:rsid w:val="00071B2E"/>
    <w:rsid w:val="00071BCB"/>
    <w:rsid w:val="0007267B"/>
    <w:rsid w:val="000726D7"/>
    <w:rsid w:val="000727FA"/>
    <w:rsid w:val="00072D67"/>
    <w:rsid w:val="000736FD"/>
    <w:rsid w:val="00073824"/>
    <w:rsid w:val="000739F0"/>
    <w:rsid w:val="00073AC6"/>
    <w:rsid w:val="00073D97"/>
    <w:rsid w:val="00073E6B"/>
    <w:rsid w:val="00073FB9"/>
    <w:rsid w:val="0007406F"/>
    <w:rsid w:val="000743F2"/>
    <w:rsid w:val="0007490D"/>
    <w:rsid w:val="0007495A"/>
    <w:rsid w:val="00074D7C"/>
    <w:rsid w:val="00074FF3"/>
    <w:rsid w:val="00075540"/>
    <w:rsid w:val="000755D1"/>
    <w:rsid w:val="000755DE"/>
    <w:rsid w:val="00075EF7"/>
    <w:rsid w:val="00076208"/>
    <w:rsid w:val="00076339"/>
    <w:rsid w:val="000765F3"/>
    <w:rsid w:val="0007674D"/>
    <w:rsid w:val="0007675E"/>
    <w:rsid w:val="0007707C"/>
    <w:rsid w:val="00077386"/>
    <w:rsid w:val="00077C14"/>
    <w:rsid w:val="00077D55"/>
    <w:rsid w:val="0008041E"/>
    <w:rsid w:val="000808AE"/>
    <w:rsid w:val="00080CB9"/>
    <w:rsid w:val="0008138F"/>
    <w:rsid w:val="000819DF"/>
    <w:rsid w:val="00081CDA"/>
    <w:rsid w:val="000825D9"/>
    <w:rsid w:val="00082718"/>
    <w:rsid w:val="000828DC"/>
    <w:rsid w:val="00082EE0"/>
    <w:rsid w:val="0008367B"/>
    <w:rsid w:val="00083D01"/>
    <w:rsid w:val="00083EE8"/>
    <w:rsid w:val="0008405E"/>
    <w:rsid w:val="000844C3"/>
    <w:rsid w:val="00084C20"/>
    <w:rsid w:val="0008507F"/>
    <w:rsid w:val="00085295"/>
    <w:rsid w:val="000853BB"/>
    <w:rsid w:val="0008557A"/>
    <w:rsid w:val="000855AC"/>
    <w:rsid w:val="000855B6"/>
    <w:rsid w:val="00085635"/>
    <w:rsid w:val="000856A0"/>
    <w:rsid w:val="00085B58"/>
    <w:rsid w:val="00086881"/>
    <w:rsid w:val="0008691E"/>
    <w:rsid w:val="00086C36"/>
    <w:rsid w:val="0008703D"/>
    <w:rsid w:val="0008748E"/>
    <w:rsid w:val="00087AFA"/>
    <w:rsid w:val="00087F47"/>
    <w:rsid w:val="00087FE9"/>
    <w:rsid w:val="00090377"/>
    <w:rsid w:val="0009050F"/>
    <w:rsid w:val="000905EB"/>
    <w:rsid w:val="00090605"/>
    <w:rsid w:val="000908AF"/>
    <w:rsid w:val="00090A2C"/>
    <w:rsid w:val="000911BD"/>
    <w:rsid w:val="00091542"/>
    <w:rsid w:val="000917AE"/>
    <w:rsid w:val="00091FD0"/>
    <w:rsid w:val="000927C3"/>
    <w:rsid w:val="00093260"/>
    <w:rsid w:val="00093334"/>
    <w:rsid w:val="000936C7"/>
    <w:rsid w:val="000939C8"/>
    <w:rsid w:val="00093A0C"/>
    <w:rsid w:val="00093C81"/>
    <w:rsid w:val="000941FC"/>
    <w:rsid w:val="00094209"/>
    <w:rsid w:val="00094290"/>
    <w:rsid w:val="00094E6C"/>
    <w:rsid w:val="000951C6"/>
    <w:rsid w:val="00096372"/>
    <w:rsid w:val="000963F8"/>
    <w:rsid w:val="00096567"/>
    <w:rsid w:val="00096749"/>
    <w:rsid w:val="00096B9D"/>
    <w:rsid w:val="00097137"/>
    <w:rsid w:val="000971ED"/>
    <w:rsid w:val="000972E7"/>
    <w:rsid w:val="000A01FE"/>
    <w:rsid w:val="000A0AA3"/>
    <w:rsid w:val="000A17D3"/>
    <w:rsid w:val="000A2137"/>
    <w:rsid w:val="000A293E"/>
    <w:rsid w:val="000A2A34"/>
    <w:rsid w:val="000A2FA1"/>
    <w:rsid w:val="000A3224"/>
    <w:rsid w:val="000A3230"/>
    <w:rsid w:val="000A334E"/>
    <w:rsid w:val="000A3361"/>
    <w:rsid w:val="000A462C"/>
    <w:rsid w:val="000A4798"/>
    <w:rsid w:val="000A489C"/>
    <w:rsid w:val="000A4C97"/>
    <w:rsid w:val="000A4EB2"/>
    <w:rsid w:val="000A58DC"/>
    <w:rsid w:val="000A5C49"/>
    <w:rsid w:val="000A5F9F"/>
    <w:rsid w:val="000A6975"/>
    <w:rsid w:val="000A6A0B"/>
    <w:rsid w:val="000A6ACF"/>
    <w:rsid w:val="000A6B72"/>
    <w:rsid w:val="000A6B93"/>
    <w:rsid w:val="000A70C6"/>
    <w:rsid w:val="000A76FE"/>
    <w:rsid w:val="000A7728"/>
    <w:rsid w:val="000A7851"/>
    <w:rsid w:val="000A789C"/>
    <w:rsid w:val="000A7A1C"/>
    <w:rsid w:val="000A7B9F"/>
    <w:rsid w:val="000A7E4C"/>
    <w:rsid w:val="000B0242"/>
    <w:rsid w:val="000B0553"/>
    <w:rsid w:val="000B11D0"/>
    <w:rsid w:val="000B159F"/>
    <w:rsid w:val="000B1C31"/>
    <w:rsid w:val="000B1D48"/>
    <w:rsid w:val="000B21CF"/>
    <w:rsid w:val="000B2810"/>
    <w:rsid w:val="000B32DD"/>
    <w:rsid w:val="000B3367"/>
    <w:rsid w:val="000B3875"/>
    <w:rsid w:val="000B3D0B"/>
    <w:rsid w:val="000B43AC"/>
    <w:rsid w:val="000B455F"/>
    <w:rsid w:val="000B4D27"/>
    <w:rsid w:val="000B51D6"/>
    <w:rsid w:val="000B5388"/>
    <w:rsid w:val="000B54E4"/>
    <w:rsid w:val="000B5689"/>
    <w:rsid w:val="000B56ED"/>
    <w:rsid w:val="000B578E"/>
    <w:rsid w:val="000B5FBA"/>
    <w:rsid w:val="000B6B3E"/>
    <w:rsid w:val="000B6B91"/>
    <w:rsid w:val="000B6DDB"/>
    <w:rsid w:val="000B7746"/>
    <w:rsid w:val="000B774F"/>
    <w:rsid w:val="000B7817"/>
    <w:rsid w:val="000B7CB2"/>
    <w:rsid w:val="000B7D6E"/>
    <w:rsid w:val="000C0089"/>
    <w:rsid w:val="000C0553"/>
    <w:rsid w:val="000C0692"/>
    <w:rsid w:val="000C0B99"/>
    <w:rsid w:val="000C1299"/>
    <w:rsid w:val="000C133A"/>
    <w:rsid w:val="000C1DB9"/>
    <w:rsid w:val="000C1E39"/>
    <w:rsid w:val="000C245A"/>
    <w:rsid w:val="000C3E81"/>
    <w:rsid w:val="000C4158"/>
    <w:rsid w:val="000C4415"/>
    <w:rsid w:val="000C4A66"/>
    <w:rsid w:val="000C590F"/>
    <w:rsid w:val="000C5CE4"/>
    <w:rsid w:val="000C5E66"/>
    <w:rsid w:val="000C630A"/>
    <w:rsid w:val="000C6858"/>
    <w:rsid w:val="000C6876"/>
    <w:rsid w:val="000C6D1D"/>
    <w:rsid w:val="000C6D94"/>
    <w:rsid w:val="000C6E4A"/>
    <w:rsid w:val="000C6F33"/>
    <w:rsid w:val="000C7CC1"/>
    <w:rsid w:val="000C7D4E"/>
    <w:rsid w:val="000D0625"/>
    <w:rsid w:val="000D0BBF"/>
    <w:rsid w:val="000D124C"/>
    <w:rsid w:val="000D1420"/>
    <w:rsid w:val="000D1733"/>
    <w:rsid w:val="000D1BE4"/>
    <w:rsid w:val="000D1CF3"/>
    <w:rsid w:val="000D1FFD"/>
    <w:rsid w:val="000D2249"/>
    <w:rsid w:val="000D2864"/>
    <w:rsid w:val="000D2DAD"/>
    <w:rsid w:val="000D2EFE"/>
    <w:rsid w:val="000D360E"/>
    <w:rsid w:val="000D493C"/>
    <w:rsid w:val="000D498C"/>
    <w:rsid w:val="000D4CC3"/>
    <w:rsid w:val="000D4EC0"/>
    <w:rsid w:val="000D5450"/>
    <w:rsid w:val="000D5544"/>
    <w:rsid w:val="000D5EE0"/>
    <w:rsid w:val="000D6165"/>
    <w:rsid w:val="000D654D"/>
    <w:rsid w:val="000D67A1"/>
    <w:rsid w:val="000D68CE"/>
    <w:rsid w:val="000D6D89"/>
    <w:rsid w:val="000D71DF"/>
    <w:rsid w:val="000D72F4"/>
    <w:rsid w:val="000D7C15"/>
    <w:rsid w:val="000E10C8"/>
    <w:rsid w:val="000E1682"/>
    <w:rsid w:val="000E1BCE"/>
    <w:rsid w:val="000E1D61"/>
    <w:rsid w:val="000E249C"/>
    <w:rsid w:val="000E2AC1"/>
    <w:rsid w:val="000E2C7B"/>
    <w:rsid w:val="000E3100"/>
    <w:rsid w:val="000E31A4"/>
    <w:rsid w:val="000E3382"/>
    <w:rsid w:val="000E3C53"/>
    <w:rsid w:val="000E4AB2"/>
    <w:rsid w:val="000E4D39"/>
    <w:rsid w:val="000E4D3E"/>
    <w:rsid w:val="000E521B"/>
    <w:rsid w:val="000E5500"/>
    <w:rsid w:val="000E5853"/>
    <w:rsid w:val="000E5CA0"/>
    <w:rsid w:val="000E61E1"/>
    <w:rsid w:val="000E6787"/>
    <w:rsid w:val="000E6864"/>
    <w:rsid w:val="000E6C5E"/>
    <w:rsid w:val="000E746C"/>
    <w:rsid w:val="000E75FD"/>
    <w:rsid w:val="000F0487"/>
    <w:rsid w:val="000F0821"/>
    <w:rsid w:val="000F0A63"/>
    <w:rsid w:val="000F0F9C"/>
    <w:rsid w:val="000F18FE"/>
    <w:rsid w:val="000F1DA1"/>
    <w:rsid w:val="000F205C"/>
    <w:rsid w:val="000F2712"/>
    <w:rsid w:val="000F2C28"/>
    <w:rsid w:val="000F2D74"/>
    <w:rsid w:val="000F2DD4"/>
    <w:rsid w:val="000F315C"/>
    <w:rsid w:val="000F361C"/>
    <w:rsid w:val="000F39EC"/>
    <w:rsid w:val="000F3DDA"/>
    <w:rsid w:val="000F4386"/>
    <w:rsid w:val="000F44C7"/>
    <w:rsid w:val="000F469B"/>
    <w:rsid w:val="000F49B7"/>
    <w:rsid w:val="000F5325"/>
    <w:rsid w:val="000F532F"/>
    <w:rsid w:val="000F5A83"/>
    <w:rsid w:val="000F6026"/>
    <w:rsid w:val="000F69F7"/>
    <w:rsid w:val="000F75A2"/>
    <w:rsid w:val="000F7AD0"/>
    <w:rsid w:val="000F7EBF"/>
    <w:rsid w:val="00100216"/>
    <w:rsid w:val="00100285"/>
    <w:rsid w:val="00100592"/>
    <w:rsid w:val="0010066C"/>
    <w:rsid w:val="001009F3"/>
    <w:rsid w:val="00100DD7"/>
    <w:rsid w:val="00100ED6"/>
    <w:rsid w:val="00101AB0"/>
    <w:rsid w:val="00101B4A"/>
    <w:rsid w:val="00101CD3"/>
    <w:rsid w:val="00101DD5"/>
    <w:rsid w:val="00102097"/>
    <w:rsid w:val="001021A7"/>
    <w:rsid w:val="001021C9"/>
    <w:rsid w:val="00102700"/>
    <w:rsid w:val="001027C1"/>
    <w:rsid w:val="0010303B"/>
    <w:rsid w:val="00103320"/>
    <w:rsid w:val="00103485"/>
    <w:rsid w:val="00103B66"/>
    <w:rsid w:val="00104A90"/>
    <w:rsid w:val="00104F85"/>
    <w:rsid w:val="001050FD"/>
    <w:rsid w:val="00105E85"/>
    <w:rsid w:val="00106309"/>
    <w:rsid w:val="001064C7"/>
    <w:rsid w:val="001068BE"/>
    <w:rsid w:val="00106FDC"/>
    <w:rsid w:val="0010736C"/>
    <w:rsid w:val="00107432"/>
    <w:rsid w:val="00107644"/>
    <w:rsid w:val="00107950"/>
    <w:rsid w:val="001100F4"/>
    <w:rsid w:val="00110197"/>
    <w:rsid w:val="00110714"/>
    <w:rsid w:val="00110734"/>
    <w:rsid w:val="001108DB"/>
    <w:rsid w:val="00111E51"/>
    <w:rsid w:val="00111EA5"/>
    <w:rsid w:val="00112152"/>
    <w:rsid w:val="00112325"/>
    <w:rsid w:val="0011253B"/>
    <w:rsid w:val="001126D5"/>
    <w:rsid w:val="0011296A"/>
    <w:rsid w:val="00113049"/>
    <w:rsid w:val="001132C3"/>
    <w:rsid w:val="00113350"/>
    <w:rsid w:val="00113C21"/>
    <w:rsid w:val="00113C3F"/>
    <w:rsid w:val="00113D6B"/>
    <w:rsid w:val="00113D74"/>
    <w:rsid w:val="00113D8A"/>
    <w:rsid w:val="001142D1"/>
    <w:rsid w:val="001147A6"/>
    <w:rsid w:val="00114C07"/>
    <w:rsid w:val="001154F2"/>
    <w:rsid w:val="00115509"/>
    <w:rsid w:val="001163F0"/>
    <w:rsid w:val="001165CF"/>
    <w:rsid w:val="00117313"/>
    <w:rsid w:val="0011769C"/>
    <w:rsid w:val="00117E2A"/>
    <w:rsid w:val="0012018D"/>
    <w:rsid w:val="00120AF5"/>
    <w:rsid w:val="00120D3A"/>
    <w:rsid w:val="00121A5B"/>
    <w:rsid w:val="00121CC9"/>
    <w:rsid w:val="0012241A"/>
    <w:rsid w:val="001227A2"/>
    <w:rsid w:val="0012299D"/>
    <w:rsid w:val="00123B5B"/>
    <w:rsid w:val="00124B7F"/>
    <w:rsid w:val="001258F1"/>
    <w:rsid w:val="00125949"/>
    <w:rsid w:val="00125C6E"/>
    <w:rsid w:val="00125C77"/>
    <w:rsid w:val="001265CA"/>
    <w:rsid w:val="001268D4"/>
    <w:rsid w:val="00126BEC"/>
    <w:rsid w:val="00126D7C"/>
    <w:rsid w:val="00127079"/>
    <w:rsid w:val="0012718D"/>
    <w:rsid w:val="00127213"/>
    <w:rsid w:val="00130259"/>
    <w:rsid w:val="001304A2"/>
    <w:rsid w:val="0013087D"/>
    <w:rsid w:val="00130D25"/>
    <w:rsid w:val="0013171D"/>
    <w:rsid w:val="00131D62"/>
    <w:rsid w:val="0013254E"/>
    <w:rsid w:val="001329BD"/>
    <w:rsid w:val="00132A9A"/>
    <w:rsid w:val="00132FAA"/>
    <w:rsid w:val="00133226"/>
    <w:rsid w:val="00133A42"/>
    <w:rsid w:val="0013440B"/>
    <w:rsid w:val="00134631"/>
    <w:rsid w:val="00134AF0"/>
    <w:rsid w:val="00134C0B"/>
    <w:rsid w:val="001351D6"/>
    <w:rsid w:val="001363A5"/>
    <w:rsid w:val="001365BD"/>
    <w:rsid w:val="00137327"/>
    <w:rsid w:val="00137390"/>
    <w:rsid w:val="001374C4"/>
    <w:rsid w:val="00137EFA"/>
    <w:rsid w:val="00140042"/>
    <w:rsid w:val="00140425"/>
    <w:rsid w:val="00140ADB"/>
    <w:rsid w:val="00140BE7"/>
    <w:rsid w:val="00140FF9"/>
    <w:rsid w:val="00141203"/>
    <w:rsid w:val="001415E4"/>
    <w:rsid w:val="0014163C"/>
    <w:rsid w:val="00141701"/>
    <w:rsid w:val="001417EF"/>
    <w:rsid w:val="00141A3D"/>
    <w:rsid w:val="00141C07"/>
    <w:rsid w:val="00141C23"/>
    <w:rsid w:val="00141E38"/>
    <w:rsid w:val="00142266"/>
    <w:rsid w:val="00142766"/>
    <w:rsid w:val="00142A10"/>
    <w:rsid w:val="00143503"/>
    <w:rsid w:val="001437BB"/>
    <w:rsid w:val="00143B1C"/>
    <w:rsid w:val="00143EFF"/>
    <w:rsid w:val="0014435A"/>
    <w:rsid w:val="001446DC"/>
    <w:rsid w:val="00144ED8"/>
    <w:rsid w:val="0014507E"/>
    <w:rsid w:val="001459CB"/>
    <w:rsid w:val="00145D91"/>
    <w:rsid w:val="00146A2C"/>
    <w:rsid w:val="00147013"/>
    <w:rsid w:val="001475FE"/>
    <w:rsid w:val="00147A6A"/>
    <w:rsid w:val="00147CDD"/>
    <w:rsid w:val="0015095E"/>
    <w:rsid w:val="001510C8"/>
    <w:rsid w:val="00151332"/>
    <w:rsid w:val="0015142E"/>
    <w:rsid w:val="001514AD"/>
    <w:rsid w:val="00151A66"/>
    <w:rsid w:val="00151B1A"/>
    <w:rsid w:val="00151E47"/>
    <w:rsid w:val="0015210F"/>
    <w:rsid w:val="001528E9"/>
    <w:rsid w:val="00152EEA"/>
    <w:rsid w:val="00153365"/>
    <w:rsid w:val="001533E9"/>
    <w:rsid w:val="0015344B"/>
    <w:rsid w:val="001539CD"/>
    <w:rsid w:val="00153FA3"/>
    <w:rsid w:val="00154225"/>
    <w:rsid w:val="00154C96"/>
    <w:rsid w:val="00154DB4"/>
    <w:rsid w:val="00155051"/>
    <w:rsid w:val="0015509F"/>
    <w:rsid w:val="001552B7"/>
    <w:rsid w:val="00155606"/>
    <w:rsid w:val="00155638"/>
    <w:rsid w:val="001557D4"/>
    <w:rsid w:val="00155826"/>
    <w:rsid w:val="00156044"/>
    <w:rsid w:val="001561D9"/>
    <w:rsid w:val="00156205"/>
    <w:rsid w:val="001564E7"/>
    <w:rsid w:val="001568E5"/>
    <w:rsid w:val="0015736F"/>
    <w:rsid w:val="001573B1"/>
    <w:rsid w:val="00157529"/>
    <w:rsid w:val="00157A6A"/>
    <w:rsid w:val="00157C89"/>
    <w:rsid w:val="00157D79"/>
    <w:rsid w:val="00157FCF"/>
    <w:rsid w:val="0016002C"/>
    <w:rsid w:val="001600E4"/>
    <w:rsid w:val="00160141"/>
    <w:rsid w:val="00160342"/>
    <w:rsid w:val="001606BB"/>
    <w:rsid w:val="0016086D"/>
    <w:rsid w:val="0016106F"/>
    <w:rsid w:val="00161153"/>
    <w:rsid w:val="00161423"/>
    <w:rsid w:val="0016162C"/>
    <w:rsid w:val="00161AAE"/>
    <w:rsid w:val="00161F1D"/>
    <w:rsid w:val="00162355"/>
    <w:rsid w:val="001625CD"/>
    <w:rsid w:val="00162A9C"/>
    <w:rsid w:val="00162B39"/>
    <w:rsid w:val="00162FCC"/>
    <w:rsid w:val="001631B7"/>
    <w:rsid w:val="00163457"/>
    <w:rsid w:val="00163A6A"/>
    <w:rsid w:val="00163DA5"/>
    <w:rsid w:val="00164627"/>
    <w:rsid w:val="00164815"/>
    <w:rsid w:val="00164940"/>
    <w:rsid w:val="001651D8"/>
    <w:rsid w:val="001656A8"/>
    <w:rsid w:val="00165785"/>
    <w:rsid w:val="00165D47"/>
    <w:rsid w:val="00166493"/>
    <w:rsid w:val="00166925"/>
    <w:rsid w:val="0016699E"/>
    <w:rsid w:val="00166BC3"/>
    <w:rsid w:val="00166C83"/>
    <w:rsid w:val="00166E43"/>
    <w:rsid w:val="00166F73"/>
    <w:rsid w:val="00167368"/>
    <w:rsid w:val="001675FE"/>
    <w:rsid w:val="00167779"/>
    <w:rsid w:val="00167898"/>
    <w:rsid w:val="0017093E"/>
    <w:rsid w:val="00170958"/>
    <w:rsid w:val="00170C78"/>
    <w:rsid w:val="00170E06"/>
    <w:rsid w:val="0017102A"/>
    <w:rsid w:val="00171206"/>
    <w:rsid w:val="00171641"/>
    <w:rsid w:val="001717EC"/>
    <w:rsid w:val="00171EED"/>
    <w:rsid w:val="0017286A"/>
    <w:rsid w:val="00172C9D"/>
    <w:rsid w:val="00173A86"/>
    <w:rsid w:val="0017406E"/>
    <w:rsid w:val="001741A2"/>
    <w:rsid w:val="00174357"/>
    <w:rsid w:val="001743D2"/>
    <w:rsid w:val="00174929"/>
    <w:rsid w:val="00174970"/>
    <w:rsid w:val="00174E0A"/>
    <w:rsid w:val="001753A4"/>
    <w:rsid w:val="00175CAD"/>
    <w:rsid w:val="001767F0"/>
    <w:rsid w:val="0017688C"/>
    <w:rsid w:val="00176B74"/>
    <w:rsid w:val="00176EC6"/>
    <w:rsid w:val="001771AF"/>
    <w:rsid w:val="001776F9"/>
    <w:rsid w:val="00177B33"/>
    <w:rsid w:val="00180417"/>
    <w:rsid w:val="001806BB"/>
    <w:rsid w:val="00181071"/>
    <w:rsid w:val="001813B2"/>
    <w:rsid w:val="00181722"/>
    <w:rsid w:val="00181E91"/>
    <w:rsid w:val="0018230E"/>
    <w:rsid w:val="00182A14"/>
    <w:rsid w:val="00182C99"/>
    <w:rsid w:val="00182CA2"/>
    <w:rsid w:val="0018339C"/>
    <w:rsid w:val="00183F3C"/>
    <w:rsid w:val="001843C3"/>
    <w:rsid w:val="00184A48"/>
    <w:rsid w:val="00185240"/>
    <w:rsid w:val="0018566F"/>
    <w:rsid w:val="00185736"/>
    <w:rsid w:val="001857CD"/>
    <w:rsid w:val="001859F2"/>
    <w:rsid w:val="00185D04"/>
    <w:rsid w:val="0018624A"/>
    <w:rsid w:val="0018641E"/>
    <w:rsid w:val="001865CF"/>
    <w:rsid w:val="00186991"/>
    <w:rsid w:val="0018749A"/>
    <w:rsid w:val="00187521"/>
    <w:rsid w:val="00187A2D"/>
    <w:rsid w:val="00187DB5"/>
    <w:rsid w:val="00187E84"/>
    <w:rsid w:val="00190238"/>
    <w:rsid w:val="00191F4E"/>
    <w:rsid w:val="001925A8"/>
    <w:rsid w:val="0019279D"/>
    <w:rsid w:val="00192A79"/>
    <w:rsid w:val="00193B9B"/>
    <w:rsid w:val="001944A9"/>
    <w:rsid w:val="001949E8"/>
    <w:rsid w:val="00194A70"/>
    <w:rsid w:val="00195A3F"/>
    <w:rsid w:val="00195D1C"/>
    <w:rsid w:val="00196918"/>
    <w:rsid w:val="00197094"/>
    <w:rsid w:val="0019718E"/>
    <w:rsid w:val="00197764"/>
    <w:rsid w:val="0019790A"/>
    <w:rsid w:val="001A021C"/>
    <w:rsid w:val="001A04D8"/>
    <w:rsid w:val="001A0787"/>
    <w:rsid w:val="001A10FB"/>
    <w:rsid w:val="001A162A"/>
    <w:rsid w:val="001A1A5E"/>
    <w:rsid w:val="001A1AA5"/>
    <w:rsid w:val="001A1AB9"/>
    <w:rsid w:val="001A1D1B"/>
    <w:rsid w:val="001A20BA"/>
    <w:rsid w:val="001A20E9"/>
    <w:rsid w:val="001A222C"/>
    <w:rsid w:val="001A23B6"/>
    <w:rsid w:val="001A2A92"/>
    <w:rsid w:val="001A2CB7"/>
    <w:rsid w:val="001A31A4"/>
    <w:rsid w:val="001A3692"/>
    <w:rsid w:val="001A36C4"/>
    <w:rsid w:val="001A377D"/>
    <w:rsid w:val="001A3D0D"/>
    <w:rsid w:val="001A47A3"/>
    <w:rsid w:val="001A4861"/>
    <w:rsid w:val="001A49A0"/>
    <w:rsid w:val="001A57F9"/>
    <w:rsid w:val="001A58ED"/>
    <w:rsid w:val="001A59A8"/>
    <w:rsid w:val="001A5C45"/>
    <w:rsid w:val="001A5F37"/>
    <w:rsid w:val="001A6B7A"/>
    <w:rsid w:val="001A7571"/>
    <w:rsid w:val="001A7766"/>
    <w:rsid w:val="001A7BF8"/>
    <w:rsid w:val="001A7D8B"/>
    <w:rsid w:val="001B070B"/>
    <w:rsid w:val="001B07FA"/>
    <w:rsid w:val="001B0910"/>
    <w:rsid w:val="001B092C"/>
    <w:rsid w:val="001B0C3A"/>
    <w:rsid w:val="001B0C5E"/>
    <w:rsid w:val="001B0E4C"/>
    <w:rsid w:val="001B1075"/>
    <w:rsid w:val="001B10DF"/>
    <w:rsid w:val="001B12CD"/>
    <w:rsid w:val="001B1306"/>
    <w:rsid w:val="001B2920"/>
    <w:rsid w:val="001B29E6"/>
    <w:rsid w:val="001B2A00"/>
    <w:rsid w:val="001B2BD6"/>
    <w:rsid w:val="001B2DC6"/>
    <w:rsid w:val="001B3395"/>
    <w:rsid w:val="001B3459"/>
    <w:rsid w:val="001B3737"/>
    <w:rsid w:val="001B391A"/>
    <w:rsid w:val="001B3B72"/>
    <w:rsid w:val="001B41B5"/>
    <w:rsid w:val="001B4BC6"/>
    <w:rsid w:val="001B4BD7"/>
    <w:rsid w:val="001B4D8E"/>
    <w:rsid w:val="001B4D9D"/>
    <w:rsid w:val="001B5B6E"/>
    <w:rsid w:val="001B60A0"/>
    <w:rsid w:val="001B620D"/>
    <w:rsid w:val="001B62B0"/>
    <w:rsid w:val="001B63F1"/>
    <w:rsid w:val="001B6468"/>
    <w:rsid w:val="001B65A5"/>
    <w:rsid w:val="001B7D80"/>
    <w:rsid w:val="001B7EDB"/>
    <w:rsid w:val="001B7FAA"/>
    <w:rsid w:val="001C03A3"/>
    <w:rsid w:val="001C1100"/>
    <w:rsid w:val="001C1122"/>
    <w:rsid w:val="001C1221"/>
    <w:rsid w:val="001C1228"/>
    <w:rsid w:val="001C15A6"/>
    <w:rsid w:val="001C1A25"/>
    <w:rsid w:val="001C1B7E"/>
    <w:rsid w:val="001C23D3"/>
    <w:rsid w:val="001C2450"/>
    <w:rsid w:val="001C2713"/>
    <w:rsid w:val="001C27BB"/>
    <w:rsid w:val="001C2DC8"/>
    <w:rsid w:val="001C300F"/>
    <w:rsid w:val="001C31A4"/>
    <w:rsid w:val="001C3394"/>
    <w:rsid w:val="001C3D61"/>
    <w:rsid w:val="001C464C"/>
    <w:rsid w:val="001C4BA7"/>
    <w:rsid w:val="001C4C3D"/>
    <w:rsid w:val="001C54FB"/>
    <w:rsid w:val="001C5BFF"/>
    <w:rsid w:val="001C5CBF"/>
    <w:rsid w:val="001C6924"/>
    <w:rsid w:val="001C6A16"/>
    <w:rsid w:val="001C6AC8"/>
    <w:rsid w:val="001C6DE0"/>
    <w:rsid w:val="001C70EB"/>
    <w:rsid w:val="001C724A"/>
    <w:rsid w:val="001C74A4"/>
    <w:rsid w:val="001C7661"/>
    <w:rsid w:val="001C791E"/>
    <w:rsid w:val="001C7A9C"/>
    <w:rsid w:val="001C7ECA"/>
    <w:rsid w:val="001C7FFE"/>
    <w:rsid w:val="001D000E"/>
    <w:rsid w:val="001D071D"/>
    <w:rsid w:val="001D08FE"/>
    <w:rsid w:val="001D0B90"/>
    <w:rsid w:val="001D0BCC"/>
    <w:rsid w:val="001D1A20"/>
    <w:rsid w:val="001D1DA7"/>
    <w:rsid w:val="001D217C"/>
    <w:rsid w:val="001D25BC"/>
    <w:rsid w:val="001D2758"/>
    <w:rsid w:val="001D2F36"/>
    <w:rsid w:val="001D3A22"/>
    <w:rsid w:val="001D3F39"/>
    <w:rsid w:val="001D414F"/>
    <w:rsid w:val="001D45AA"/>
    <w:rsid w:val="001D4878"/>
    <w:rsid w:val="001D4A7B"/>
    <w:rsid w:val="001D4D46"/>
    <w:rsid w:val="001D4F6F"/>
    <w:rsid w:val="001D57A8"/>
    <w:rsid w:val="001D57D4"/>
    <w:rsid w:val="001D59F8"/>
    <w:rsid w:val="001D5C25"/>
    <w:rsid w:val="001D6512"/>
    <w:rsid w:val="001D66BD"/>
    <w:rsid w:val="001D6764"/>
    <w:rsid w:val="001D6A0C"/>
    <w:rsid w:val="001D6FB6"/>
    <w:rsid w:val="001D7280"/>
    <w:rsid w:val="001D7A80"/>
    <w:rsid w:val="001D7B3C"/>
    <w:rsid w:val="001E01BF"/>
    <w:rsid w:val="001E0203"/>
    <w:rsid w:val="001E0235"/>
    <w:rsid w:val="001E04DE"/>
    <w:rsid w:val="001E065D"/>
    <w:rsid w:val="001E0B74"/>
    <w:rsid w:val="001E1495"/>
    <w:rsid w:val="001E2003"/>
    <w:rsid w:val="001E21F8"/>
    <w:rsid w:val="001E23FC"/>
    <w:rsid w:val="001E2874"/>
    <w:rsid w:val="001E2B01"/>
    <w:rsid w:val="001E2CDB"/>
    <w:rsid w:val="001E2EE3"/>
    <w:rsid w:val="001E31D7"/>
    <w:rsid w:val="001E3759"/>
    <w:rsid w:val="001E3BEA"/>
    <w:rsid w:val="001E4556"/>
    <w:rsid w:val="001E47CA"/>
    <w:rsid w:val="001E4D46"/>
    <w:rsid w:val="001E4FE1"/>
    <w:rsid w:val="001E52F8"/>
    <w:rsid w:val="001E5D6B"/>
    <w:rsid w:val="001E5DAE"/>
    <w:rsid w:val="001E6012"/>
    <w:rsid w:val="001E61A1"/>
    <w:rsid w:val="001E63B6"/>
    <w:rsid w:val="001E67D4"/>
    <w:rsid w:val="001E6946"/>
    <w:rsid w:val="001E6F81"/>
    <w:rsid w:val="001E719C"/>
    <w:rsid w:val="001E7B10"/>
    <w:rsid w:val="001E7C26"/>
    <w:rsid w:val="001F0463"/>
    <w:rsid w:val="001F061C"/>
    <w:rsid w:val="001F0BE2"/>
    <w:rsid w:val="001F0DA9"/>
    <w:rsid w:val="001F1194"/>
    <w:rsid w:val="001F134C"/>
    <w:rsid w:val="001F1455"/>
    <w:rsid w:val="001F1707"/>
    <w:rsid w:val="001F1787"/>
    <w:rsid w:val="001F18CB"/>
    <w:rsid w:val="001F1BC4"/>
    <w:rsid w:val="001F1EEB"/>
    <w:rsid w:val="001F23F0"/>
    <w:rsid w:val="001F27F3"/>
    <w:rsid w:val="001F2D80"/>
    <w:rsid w:val="001F3358"/>
    <w:rsid w:val="001F42D6"/>
    <w:rsid w:val="001F45D7"/>
    <w:rsid w:val="001F49BB"/>
    <w:rsid w:val="001F4AEE"/>
    <w:rsid w:val="001F5321"/>
    <w:rsid w:val="001F5370"/>
    <w:rsid w:val="001F5B3A"/>
    <w:rsid w:val="001F5B91"/>
    <w:rsid w:val="001F6067"/>
    <w:rsid w:val="001F613F"/>
    <w:rsid w:val="001F6295"/>
    <w:rsid w:val="001F670B"/>
    <w:rsid w:val="001F6BAC"/>
    <w:rsid w:val="001F6FF6"/>
    <w:rsid w:val="001F71BA"/>
    <w:rsid w:val="001F732A"/>
    <w:rsid w:val="001F7ABC"/>
    <w:rsid w:val="002003EF"/>
    <w:rsid w:val="002006CB"/>
    <w:rsid w:val="00200B1F"/>
    <w:rsid w:val="00200DB9"/>
    <w:rsid w:val="00200DF0"/>
    <w:rsid w:val="0020118D"/>
    <w:rsid w:val="00201675"/>
    <w:rsid w:val="00201A08"/>
    <w:rsid w:val="002026A6"/>
    <w:rsid w:val="002026E9"/>
    <w:rsid w:val="0020335F"/>
    <w:rsid w:val="00203DDE"/>
    <w:rsid w:val="002042E9"/>
    <w:rsid w:val="00204CFA"/>
    <w:rsid w:val="00204D01"/>
    <w:rsid w:val="00204F16"/>
    <w:rsid w:val="0020519F"/>
    <w:rsid w:val="002059AE"/>
    <w:rsid w:val="00206B2C"/>
    <w:rsid w:val="00206B9B"/>
    <w:rsid w:val="00207DFE"/>
    <w:rsid w:val="00207E94"/>
    <w:rsid w:val="002102A1"/>
    <w:rsid w:val="00210371"/>
    <w:rsid w:val="00210845"/>
    <w:rsid w:val="00210D20"/>
    <w:rsid w:val="00210DF0"/>
    <w:rsid w:val="002116C3"/>
    <w:rsid w:val="002119C5"/>
    <w:rsid w:val="00211E22"/>
    <w:rsid w:val="00212672"/>
    <w:rsid w:val="002129F5"/>
    <w:rsid w:val="002134D9"/>
    <w:rsid w:val="00213595"/>
    <w:rsid w:val="0021365F"/>
    <w:rsid w:val="00213B34"/>
    <w:rsid w:val="002143E7"/>
    <w:rsid w:val="00214BEC"/>
    <w:rsid w:val="00214C74"/>
    <w:rsid w:val="002151D8"/>
    <w:rsid w:val="002155E0"/>
    <w:rsid w:val="0021560C"/>
    <w:rsid w:val="00215638"/>
    <w:rsid w:val="00216280"/>
    <w:rsid w:val="0021637C"/>
    <w:rsid w:val="002166B9"/>
    <w:rsid w:val="00216BF6"/>
    <w:rsid w:val="002172B3"/>
    <w:rsid w:val="002177FA"/>
    <w:rsid w:val="00217D21"/>
    <w:rsid w:val="00220112"/>
    <w:rsid w:val="0022063B"/>
    <w:rsid w:val="002206DF"/>
    <w:rsid w:val="00220981"/>
    <w:rsid w:val="00220ACD"/>
    <w:rsid w:val="00220D3C"/>
    <w:rsid w:val="00220EAF"/>
    <w:rsid w:val="00221115"/>
    <w:rsid w:val="00221D32"/>
    <w:rsid w:val="00221F00"/>
    <w:rsid w:val="00222234"/>
    <w:rsid w:val="002226DC"/>
    <w:rsid w:val="00222A3E"/>
    <w:rsid w:val="00222AFE"/>
    <w:rsid w:val="00222B43"/>
    <w:rsid w:val="00222BA0"/>
    <w:rsid w:val="00222EEB"/>
    <w:rsid w:val="0022303C"/>
    <w:rsid w:val="0022310E"/>
    <w:rsid w:val="00223541"/>
    <w:rsid w:val="00224137"/>
    <w:rsid w:val="00224ED0"/>
    <w:rsid w:val="00225168"/>
    <w:rsid w:val="00225535"/>
    <w:rsid w:val="0022580E"/>
    <w:rsid w:val="0022599C"/>
    <w:rsid w:val="00225DAA"/>
    <w:rsid w:val="00226162"/>
    <w:rsid w:val="00226201"/>
    <w:rsid w:val="00226572"/>
    <w:rsid w:val="00226597"/>
    <w:rsid w:val="00226762"/>
    <w:rsid w:val="00226D8C"/>
    <w:rsid w:val="0022703E"/>
    <w:rsid w:val="002270A2"/>
    <w:rsid w:val="002276B9"/>
    <w:rsid w:val="00227B6F"/>
    <w:rsid w:val="00227E00"/>
    <w:rsid w:val="00227E53"/>
    <w:rsid w:val="00230C17"/>
    <w:rsid w:val="002313FE"/>
    <w:rsid w:val="0023143C"/>
    <w:rsid w:val="002314DB"/>
    <w:rsid w:val="00231657"/>
    <w:rsid w:val="00231AD0"/>
    <w:rsid w:val="00231C29"/>
    <w:rsid w:val="0023209C"/>
    <w:rsid w:val="00232B45"/>
    <w:rsid w:val="00232B63"/>
    <w:rsid w:val="00232B71"/>
    <w:rsid w:val="00232C96"/>
    <w:rsid w:val="002334EE"/>
    <w:rsid w:val="00233543"/>
    <w:rsid w:val="00233A20"/>
    <w:rsid w:val="00233E58"/>
    <w:rsid w:val="00233FED"/>
    <w:rsid w:val="0023409D"/>
    <w:rsid w:val="0023427F"/>
    <w:rsid w:val="002348A6"/>
    <w:rsid w:val="00234EC4"/>
    <w:rsid w:val="00235140"/>
    <w:rsid w:val="00235567"/>
    <w:rsid w:val="00235658"/>
    <w:rsid w:val="00235A98"/>
    <w:rsid w:val="0023617C"/>
    <w:rsid w:val="0023643A"/>
    <w:rsid w:val="002372A6"/>
    <w:rsid w:val="0023745B"/>
    <w:rsid w:val="00237F9F"/>
    <w:rsid w:val="002402E2"/>
    <w:rsid w:val="00240865"/>
    <w:rsid w:val="0024126B"/>
    <w:rsid w:val="0024144F"/>
    <w:rsid w:val="002415CE"/>
    <w:rsid w:val="002415E3"/>
    <w:rsid w:val="00241658"/>
    <w:rsid w:val="00241817"/>
    <w:rsid w:val="00241A3A"/>
    <w:rsid w:val="00241E10"/>
    <w:rsid w:val="00242402"/>
    <w:rsid w:val="002425B5"/>
    <w:rsid w:val="002425D9"/>
    <w:rsid w:val="0024277C"/>
    <w:rsid w:val="00242B2A"/>
    <w:rsid w:val="00243118"/>
    <w:rsid w:val="002437C8"/>
    <w:rsid w:val="0024414F"/>
    <w:rsid w:val="002441EB"/>
    <w:rsid w:val="002445E2"/>
    <w:rsid w:val="00244BC4"/>
    <w:rsid w:val="00244FCF"/>
    <w:rsid w:val="00245998"/>
    <w:rsid w:val="00245C9A"/>
    <w:rsid w:val="00245DAB"/>
    <w:rsid w:val="00246231"/>
    <w:rsid w:val="00246A7A"/>
    <w:rsid w:val="0024742A"/>
    <w:rsid w:val="0024784F"/>
    <w:rsid w:val="0024798E"/>
    <w:rsid w:val="00247D04"/>
    <w:rsid w:val="00247E15"/>
    <w:rsid w:val="00247EDC"/>
    <w:rsid w:val="00247EFB"/>
    <w:rsid w:val="002500C1"/>
    <w:rsid w:val="002500E6"/>
    <w:rsid w:val="002502C6"/>
    <w:rsid w:val="00250607"/>
    <w:rsid w:val="00250844"/>
    <w:rsid w:val="002513F5"/>
    <w:rsid w:val="002514EA"/>
    <w:rsid w:val="00252005"/>
    <w:rsid w:val="00252257"/>
    <w:rsid w:val="00252943"/>
    <w:rsid w:val="00253070"/>
    <w:rsid w:val="00253207"/>
    <w:rsid w:val="00253652"/>
    <w:rsid w:val="0025379F"/>
    <w:rsid w:val="00253926"/>
    <w:rsid w:val="00254862"/>
    <w:rsid w:val="00255390"/>
    <w:rsid w:val="00255969"/>
    <w:rsid w:val="00255979"/>
    <w:rsid w:val="00255DB5"/>
    <w:rsid w:val="00255DC8"/>
    <w:rsid w:val="00255F62"/>
    <w:rsid w:val="002563DA"/>
    <w:rsid w:val="00256536"/>
    <w:rsid w:val="00256587"/>
    <w:rsid w:val="00256942"/>
    <w:rsid w:val="0025694C"/>
    <w:rsid w:val="002574E1"/>
    <w:rsid w:val="00257631"/>
    <w:rsid w:val="002576A6"/>
    <w:rsid w:val="002576B7"/>
    <w:rsid w:val="002577B4"/>
    <w:rsid w:val="0025789F"/>
    <w:rsid w:val="00257C20"/>
    <w:rsid w:val="00257DC5"/>
    <w:rsid w:val="0026020C"/>
    <w:rsid w:val="00260300"/>
    <w:rsid w:val="00260804"/>
    <w:rsid w:val="0026083C"/>
    <w:rsid w:val="00260B8B"/>
    <w:rsid w:val="00262694"/>
    <w:rsid w:val="00262732"/>
    <w:rsid w:val="002627D6"/>
    <w:rsid w:val="002628B4"/>
    <w:rsid w:val="002628D8"/>
    <w:rsid w:val="002629AF"/>
    <w:rsid w:val="00262BF7"/>
    <w:rsid w:val="00263249"/>
    <w:rsid w:val="00263309"/>
    <w:rsid w:val="002633DB"/>
    <w:rsid w:val="002634DE"/>
    <w:rsid w:val="002637C2"/>
    <w:rsid w:val="00263A6E"/>
    <w:rsid w:val="00263FFE"/>
    <w:rsid w:val="00264855"/>
    <w:rsid w:val="00264D29"/>
    <w:rsid w:val="00264EEE"/>
    <w:rsid w:val="002655C3"/>
    <w:rsid w:val="00265936"/>
    <w:rsid w:val="00265F04"/>
    <w:rsid w:val="002660F8"/>
    <w:rsid w:val="00266DE6"/>
    <w:rsid w:val="0026794D"/>
    <w:rsid w:val="00267B37"/>
    <w:rsid w:val="00267F27"/>
    <w:rsid w:val="0027000D"/>
    <w:rsid w:val="002701A7"/>
    <w:rsid w:val="002704BC"/>
    <w:rsid w:val="002704C8"/>
    <w:rsid w:val="0027080B"/>
    <w:rsid w:val="002708CA"/>
    <w:rsid w:val="0027101A"/>
    <w:rsid w:val="00271045"/>
    <w:rsid w:val="00271B15"/>
    <w:rsid w:val="00271D34"/>
    <w:rsid w:val="00271E05"/>
    <w:rsid w:val="00271FB8"/>
    <w:rsid w:val="00272371"/>
    <w:rsid w:val="002723E5"/>
    <w:rsid w:val="0027299E"/>
    <w:rsid w:val="00272DB9"/>
    <w:rsid w:val="00273035"/>
    <w:rsid w:val="0027322A"/>
    <w:rsid w:val="00274032"/>
    <w:rsid w:val="0027427B"/>
    <w:rsid w:val="002746CE"/>
    <w:rsid w:val="002748CC"/>
    <w:rsid w:val="00274A88"/>
    <w:rsid w:val="00274D5C"/>
    <w:rsid w:val="00274F0F"/>
    <w:rsid w:val="00275526"/>
    <w:rsid w:val="00275529"/>
    <w:rsid w:val="00275584"/>
    <w:rsid w:val="00275B0C"/>
    <w:rsid w:val="00276603"/>
    <w:rsid w:val="00276753"/>
    <w:rsid w:val="00276CD6"/>
    <w:rsid w:val="00276F7A"/>
    <w:rsid w:val="0027744A"/>
    <w:rsid w:val="002775A1"/>
    <w:rsid w:val="00277A46"/>
    <w:rsid w:val="00277ADD"/>
    <w:rsid w:val="00277B22"/>
    <w:rsid w:val="00277C1C"/>
    <w:rsid w:val="002800A6"/>
    <w:rsid w:val="00280B9E"/>
    <w:rsid w:val="00280D0B"/>
    <w:rsid w:val="00280E22"/>
    <w:rsid w:val="00280F68"/>
    <w:rsid w:val="00280FA9"/>
    <w:rsid w:val="002814B8"/>
    <w:rsid w:val="00281DD8"/>
    <w:rsid w:val="00282314"/>
    <w:rsid w:val="002830B6"/>
    <w:rsid w:val="00283BC0"/>
    <w:rsid w:val="00284066"/>
    <w:rsid w:val="00284F4B"/>
    <w:rsid w:val="00285308"/>
    <w:rsid w:val="00285B48"/>
    <w:rsid w:val="00285CD7"/>
    <w:rsid w:val="00286031"/>
    <w:rsid w:val="0028688D"/>
    <w:rsid w:val="00287196"/>
    <w:rsid w:val="002872AB"/>
    <w:rsid w:val="002872D7"/>
    <w:rsid w:val="0028743B"/>
    <w:rsid w:val="00287C61"/>
    <w:rsid w:val="00287F5E"/>
    <w:rsid w:val="002900DB"/>
    <w:rsid w:val="0029080D"/>
    <w:rsid w:val="00290852"/>
    <w:rsid w:val="002909B4"/>
    <w:rsid w:val="00290D88"/>
    <w:rsid w:val="00290D9C"/>
    <w:rsid w:val="00290FD9"/>
    <w:rsid w:val="00291892"/>
    <w:rsid w:val="00291B23"/>
    <w:rsid w:val="002928A5"/>
    <w:rsid w:val="00292949"/>
    <w:rsid w:val="002935AC"/>
    <w:rsid w:val="002943C3"/>
    <w:rsid w:val="00294722"/>
    <w:rsid w:val="00294D78"/>
    <w:rsid w:val="00295792"/>
    <w:rsid w:val="0029579E"/>
    <w:rsid w:val="00295C17"/>
    <w:rsid w:val="00295FE3"/>
    <w:rsid w:val="002967FE"/>
    <w:rsid w:val="00296831"/>
    <w:rsid w:val="0029696E"/>
    <w:rsid w:val="002969A8"/>
    <w:rsid w:val="00296AB3"/>
    <w:rsid w:val="00296CA0"/>
    <w:rsid w:val="00297060"/>
    <w:rsid w:val="00297081"/>
    <w:rsid w:val="002A025C"/>
    <w:rsid w:val="002A0C93"/>
    <w:rsid w:val="002A1418"/>
    <w:rsid w:val="002A1872"/>
    <w:rsid w:val="002A18EB"/>
    <w:rsid w:val="002A1B25"/>
    <w:rsid w:val="002A1F10"/>
    <w:rsid w:val="002A1F43"/>
    <w:rsid w:val="002A2137"/>
    <w:rsid w:val="002A22EA"/>
    <w:rsid w:val="002A279B"/>
    <w:rsid w:val="002A27E4"/>
    <w:rsid w:val="002A3348"/>
    <w:rsid w:val="002A3B6A"/>
    <w:rsid w:val="002A47C6"/>
    <w:rsid w:val="002A4A0B"/>
    <w:rsid w:val="002A52E5"/>
    <w:rsid w:val="002A57D2"/>
    <w:rsid w:val="002A5D35"/>
    <w:rsid w:val="002A64B7"/>
    <w:rsid w:val="002A6FE5"/>
    <w:rsid w:val="002A78ED"/>
    <w:rsid w:val="002A7A56"/>
    <w:rsid w:val="002A7CCE"/>
    <w:rsid w:val="002B0311"/>
    <w:rsid w:val="002B08D4"/>
    <w:rsid w:val="002B09A9"/>
    <w:rsid w:val="002B0B67"/>
    <w:rsid w:val="002B13DC"/>
    <w:rsid w:val="002B1555"/>
    <w:rsid w:val="002B189F"/>
    <w:rsid w:val="002B1D9E"/>
    <w:rsid w:val="002B239A"/>
    <w:rsid w:val="002B2603"/>
    <w:rsid w:val="002B2800"/>
    <w:rsid w:val="002B2A55"/>
    <w:rsid w:val="002B34DA"/>
    <w:rsid w:val="002B3914"/>
    <w:rsid w:val="002B4052"/>
    <w:rsid w:val="002B4562"/>
    <w:rsid w:val="002B4698"/>
    <w:rsid w:val="002B46F0"/>
    <w:rsid w:val="002B4809"/>
    <w:rsid w:val="002B4842"/>
    <w:rsid w:val="002B4E1C"/>
    <w:rsid w:val="002B4FE8"/>
    <w:rsid w:val="002B5494"/>
    <w:rsid w:val="002B5B6F"/>
    <w:rsid w:val="002B5F31"/>
    <w:rsid w:val="002B623C"/>
    <w:rsid w:val="002B6986"/>
    <w:rsid w:val="002B6A79"/>
    <w:rsid w:val="002B6CD0"/>
    <w:rsid w:val="002B6E0E"/>
    <w:rsid w:val="002B6F60"/>
    <w:rsid w:val="002B7173"/>
    <w:rsid w:val="002B7C3F"/>
    <w:rsid w:val="002B7EA1"/>
    <w:rsid w:val="002C05F0"/>
    <w:rsid w:val="002C0628"/>
    <w:rsid w:val="002C0A76"/>
    <w:rsid w:val="002C0AF8"/>
    <w:rsid w:val="002C0F38"/>
    <w:rsid w:val="002C10B6"/>
    <w:rsid w:val="002C10D1"/>
    <w:rsid w:val="002C13FF"/>
    <w:rsid w:val="002C23C3"/>
    <w:rsid w:val="002C27E9"/>
    <w:rsid w:val="002C27F4"/>
    <w:rsid w:val="002C28D8"/>
    <w:rsid w:val="002C2CC5"/>
    <w:rsid w:val="002C3603"/>
    <w:rsid w:val="002C38A4"/>
    <w:rsid w:val="002C3911"/>
    <w:rsid w:val="002C39EC"/>
    <w:rsid w:val="002C407A"/>
    <w:rsid w:val="002C40B4"/>
    <w:rsid w:val="002C440C"/>
    <w:rsid w:val="002C45AD"/>
    <w:rsid w:val="002C45F7"/>
    <w:rsid w:val="002C4A49"/>
    <w:rsid w:val="002C4C95"/>
    <w:rsid w:val="002C5686"/>
    <w:rsid w:val="002C5B53"/>
    <w:rsid w:val="002C5D2A"/>
    <w:rsid w:val="002C5E3B"/>
    <w:rsid w:val="002C60CF"/>
    <w:rsid w:val="002C6EEE"/>
    <w:rsid w:val="002C6F06"/>
    <w:rsid w:val="002C722B"/>
    <w:rsid w:val="002C7389"/>
    <w:rsid w:val="002C77F4"/>
    <w:rsid w:val="002C78D6"/>
    <w:rsid w:val="002C7D0C"/>
    <w:rsid w:val="002C7D91"/>
    <w:rsid w:val="002C7F18"/>
    <w:rsid w:val="002D0133"/>
    <w:rsid w:val="002D02B1"/>
    <w:rsid w:val="002D080A"/>
    <w:rsid w:val="002D0B6B"/>
    <w:rsid w:val="002D1798"/>
    <w:rsid w:val="002D1F02"/>
    <w:rsid w:val="002D1F3C"/>
    <w:rsid w:val="002D2888"/>
    <w:rsid w:val="002D28CB"/>
    <w:rsid w:val="002D2AB0"/>
    <w:rsid w:val="002D2C80"/>
    <w:rsid w:val="002D3744"/>
    <w:rsid w:val="002D3CE8"/>
    <w:rsid w:val="002D3D8B"/>
    <w:rsid w:val="002D468B"/>
    <w:rsid w:val="002D4A29"/>
    <w:rsid w:val="002D4D1B"/>
    <w:rsid w:val="002D4D55"/>
    <w:rsid w:val="002D5350"/>
    <w:rsid w:val="002D5A64"/>
    <w:rsid w:val="002D5A8A"/>
    <w:rsid w:val="002D5F54"/>
    <w:rsid w:val="002D66CD"/>
    <w:rsid w:val="002D688D"/>
    <w:rsid w:val="002D6906"/>
    <w:rsid w:val="002D6FAC"/>
    <w:rsid w:val="002D7083"/>
    <w:rsid w:val="002E01E3"/>
    <w:rsid w:val="002E0250"/>
    <w:rsid w:val="002E077B"/>
    <w:rsid w:val="002E0F62"/>
    <w:rsid w:val="002E1DE7"/>
    <w:rsid w:val="002E2584"/>
    <w:rsid w:val="002E2D9E"/>
    <w:rsid w:val="002E3647"/>
    <w:rsid w:val="002E3C7A"/>
    <w:rsid w:val="002E3DCE"/>
    <w:rsid w:val="002E4446"/>
    <w:rsid w:val="002E5234"/>
    <w:rsid w:val="002E54C7"/>
    <w:rsid w:val="002E5C8B"/>
    <w:rsid w:val="002E5E0C"/>
    <w:rsid w:val="002E6596"/>
    <w:rsid w:val="002E6752"/>
    <w:rsid w:val="002E67F0"/>
    <w:rsid w:val="002E7665"/>
    <w:rsid w:val="002E769D"/>
    <w:rsid w:val="002F006C"/>
    <w:rsid w:val="002F057A"/>
    <w:rsid w:val="002F094E"/>
    <w:rsid w:val="002F0ED9"/>
    <w:rsid w:val="002F17F5"/>
    <w:rsid w:val="002F1CB0"/>
    <w:rsid w:val="002F1FAE"/>
    <w:rsid w:val="002F2156"/>
    <w:rsid w:val="002F28A3"/>
    <w:rsid w:val="002F3055"/>
    <w:rsid w:val="002F335B"/>
    <w:rsid w:val="002F3932"/>
    <w:rsid w:val="002F4652"/>
    <w:rsid w:val="002F4B60"/>
    <w:rsid w:val="002F4DA7"/>
    <w:rsid w:val="002F4F25"/>
    <w:rsid w:val="002F5075"/>
    <w:rsid w:val="002F5302"/>
    <w:rsid w:val="002F586D"/>
    <w:rsid w:val="002F5B01"/>
    <w:rsid w:val="002F5B99"/>
    <w:rsid w:val="002F5C20"/>
    <w:rsid w:val="002F5CF5"/>
    <w:rsid w:val="002F619E"/>
    <w:rsid w:val="002F6799"/>
    <w:rsid w:val="002F6B5D"/>
    <w:rsid w:val="002F7302"/>
    <w:rsid w:val="002F759A"/>
    <w:rsid w:val="00301015"/>
    <w:rsid w:val="00301060"/>
    <w:rsid w:val="003015B1"/>
    <w:rsid w:val="00301785"/>
    <w:rsid w:val="0030195F"/>
    <w:rsid w:val="00301B63"/>
    <w:rsid w:val="00301C9E"/>
    <w:rsid w:val="003035F0"/>
    <w:rsid w:val="00303619"/>
    <w:rsid w:val="00303626"/>
    <w:rsid w:val="0030365A"/>
    <w:rsid w:val="00303F4B"/>
    <w:rsid w:val="003040C8"/>
    <w:rsid w:val="00304206"/>
    <w:rsid w:val="0030439D"/>
    <w:rsid w:val="003043BA"/>
    <w:rsid w:val="003048CF"/>
    <w:rsid w:val="003049F1"/>
    <w:rsid w:val="00304B68"/>
    <w:rsid w:val="00304EC5"/>
    <w:rsid w:val="003051C0"/>
    <w:rsid w:val="00305236"/>
    <w:rsid w:val="00305737"/>
    <w:rsid w:val="00305D82"/>
    <w:rsid w:val="00306229"/>
    <w:rsid w:val="003067C7"/>
    <w:rsid w:val="0030690B"/>
    <w:rsid w:val="00306CC2"/>
    <w:rsid w:val="003071AF"/>
    <w:rsid w:val="003071BB"/>
    <w:rsid w:val="00307591"/>
    <w:rsid w:val="00307A82"/>
    <w:rsid w:val="00307DF0"/>
    <w:rsid w:val="00310B17"/>
    <w:rsid w:val="0031172D"/>
    <w:rsid w:val="003117C6"/>
    <w:rsid w:val="00311878"/>
    <w:rsid w:val="00311A8C"/>
    <w:rsid w:val="003121C8"/>
    <w:rsid w:val="0031260A"/>
    <w:rsid w:val="003128BB"/>
    <w:rsid w:val="00312929"/>
    <w:rsid w:val="00312E3E"/>
    <w:rsid w:val="003130D2"/>
    <w:rsid w:val="003147C1"/>
    <w:rsid w:val="00314804"/>
    <w:rsid w:val="00314C4E"/>
    <w:rsid w:val="00314F3A"/>
    <w:rsid w:val="0031529D"/>
    <w:rsid w:val="003152BF"/>
    <w:rsid w:val="00315520"/>
    <w:rsid w:val="003156FB"/>
    <w:rsid w:val="00315D81"/>
    <w:rsid w:val="003164D1"/>
    <w:rsid w:val="0031690D"/>
    <w:rsid w:val="00316DCC"/>
    <w:rsid w:val="00317073"/>
    <w:rsid w:val="0031713C"/>
    <w:rsid w:val="003171C7"/>
    <w:rsid w:val="003178BE"/>
    <w:rsid w:val="0031791D"/>
    <w:rsid w:val="0031794B"/>
    <w:rsid w:val="00317B81"/>
    <w:rsid w:val="00320167"/>
    <w:rsid w:val="0032069B"/>
    <w:rsid w:val="00320755"/>
    <w:rsid w:val="00320935"/>
    <w:rsid w:val="003212CE"/>
    <w:rsid w:val="0032153A"/>
    <w:rsid w:val="00322E60"/>
    <w:rsid w:val="0032342C"/>
    <w:rsid w:val="003235DB"/>
    <w:rsid w:val="00323761"/>
    <w:rsid w:val="003237FA"/>
    <w:rsid w:val="00323B6A"/>
    <w:rsid w:val="00323EA7"/>
    <w:rsid w:val="003242B5"/>
    <w:rsid w:val="00324354"/>
    <w:rsid w:val="003243E2"/>
    <w:rsid w:val="00324461"/>
    <w:rsid w:val="00324BA6"/>
    <w:rsid w:val="00324CCF"/>
    <w:rsid w:val="00325323"/>
    <w:rsid w:val="003257C6"/>
    <w:rsid w:val="00325F31"/>
    <w:rsid w:val="00326587"/>
    <w:rsid w:val="003268DB"/>
    <w:rsid w:val="00326CC6"/>
    <w:rsid w:val="00326D5E"/>
    <w:rsid w:val="00326EB7"/>
    <w:rsid w:val="00326F34"/>
    <w:rsid w:val="003270A8"/>
    <w:rsid w:val="003274C2"/>
    <w:rsid w:val="003278A5"/>
    <w:rsid w:val="003279B0"/>
    <w:rsid w:val="00327B04"/>
    <w:rsid w:val="00330805"/>
    <w:rsid w:val="00330AA9"/>
    <w:rsid w:val="00331376"/>
    <w:rsid w:val="00331AD4"/>
    <w:rsid w:val="00331E0A"/>
    <w:rsid w:val="0033250B"/>
    <w:rsid w:val="003326F2"/>
    <w:rsid w:val="00333169"/>
    <w:rsid w:val="0033349C"/>
    <w:rsid w:val="00334890"/>
    <w:rsid w:val="003348DC"/>
    <w:rsid w:val="00335526"/>
    <w:rsid w:val="00335567"/>
    <w:rsid w:val="00336B1F"/>
    <w:rsid w:val="00336E84"/>
    <w:rsid w:val="00336F84"/>
    <w:rsid w:val="0033731B"/>
    <w:rsid w:val="00337555"/>
    <w:rsid w:val="00337B17"/>
    <w:rsid w:val="00337CBE"/>
    <w:rsid w:val="00337EB7"/>
    <w:rsid w:val="0034023F"/>
    <w:rsid w:val="00340545"/>
    <w:rsid w:val="0034163B"/>
    <w:rsid w:val="0034170C"/>
    <w:rsid w:val="003421DC"/>
    <w:rsid w:val="003427A7"/>
    <w:rsid w:val="00343196"/>
    <w:rsid w:val="00343253"/>
    <w:rsid w:val="00343281"/>
    <w:rsid w:val="0034332E"/>
    <w:rsid w:val="00343981"/>
    <w:rsid w:val="00343D00"/>
    <w:rsid w:val="00343E4E"/>
    <w:rsid w:val="0034400A"/>
    <w:rsid w:val="0034420A"/>
    <w:rsid w:val="00344440"/>
    <w:rsid w:val="0034447D"/>
    <w:rsid w:val="00344798"/>
    <w:rsid w:val="0034490C"/>
    <w:rsid w:val="00344957"/>
    <w:rsid w:val="00344DB1"/>
    <w:rsid w:val="00344DDC"/>
    <w:rsid w:val="00344EFB"/>
    <w:rsid w:val="00345243"/>
    <w:rsid w:val="00345EE9"/>
    <w:rsid w:val="003464C5"/>
    <w:rsid w:val="0034686F"/>
    <w:rsid w:val="00347492"/>
    <w:rsid w:val="00347C48"/>
    <w:rsid w:val="0035023A"/>
    <w:rsid w:val="0035039E"/>
    <w:rsid w:val="003507AF"/>
    <w:rsid w:val="00350809"/>
    <w:rsid w:val="003508B6"/>
    <w:rsid w:val="00350D4D"/>
    <w:rsid w:val="00351051"/>
    <w:rsid w:val="003510A8"/>
    <w:rsid w:val="003511F4"/>
    <w:rsid w:val="00351274"/>
    <w:rsid w:val="00351512"/>
    <w:rsid w:val="00351C00"/>
    <w:rsid w:val="00351D4D"/>
    <w:rsid w:val="003522D4"/>
    <w:rsid w:val="0035232A"/>
    <w:rsid w:val="003528A0"/>
    <w:rsid w:val="00353091"/>
    <w:rsid w:val="00353AA7"/>
    <w:rsid w:val="00354BE6"/>
    <w:rsid w:val="00354E04"/>
    <w:rsid w:val="003556BF"/>
    <w:rsid w:val="00355C84"/>
    <w:rsid w:val="003570C7"/>
    <w:rsid w:val="00357A0F"/>
    <w:rsid w:val="00357AFA"/>
    <w:rsid w:val="00357DB8"/>
    <w:rsid w:val="003600F2"/>
    <w:rsid w:val="0036015B"/>
    <w:rsid w:val="003608C1"/>
    <w:rsid w:val="00360A71"/>
    <w:rsid w:val="00360F10"/>
    <w:rsid w:val="00361012"/>
    <w:rsid w:val="00361613"/>
    <w:rsid w:val="00361AF4"/>
    <w:rsid w:val="00362088"/>
    <w:rsid w:val="0036256C"/>
    <w:rsid w:val="003629F6"/>
    <w:rsid w:val="00362A3A"/>
    <w:rsid w:val="00364414"/>
    <w:rsid w:val="00364943"/>
    <w:rsid w:val="00364D12"/>
    <w:rsid w:val="003657E1"/>
    <w:rsid w:val="00366293"/>
    <w:rsid w:val="0036655F"/>
    <w:rsid w:val="00366C07"/>
    <w:rsid w:val="003671BA"/>
    <w:rsid w:val="0036772B"/>
    <w:rsid w:val="0036790F"/>
    <w:rsid w:val="00367DCB"/>
    <w:rsid w:val="00370049"/>
    <w:rsid w:val="00370903"/>
    <w:rsid w:val="00370B48"/>
    <w:rsid w:val="00370F74"/>
    <w:rsid w:val="00371A30"/>
    <w:rsid w:val="00371AFA"/>
    <w:rsid w:val="003730F1"/>
    <w:rsid w:val="00373931"/>
    <w:rsid w:val="00373A5F"/>
    <w:rsid w:val="00373E54"/>
    <w:rsid w:val="003741F4"/>
    <w:rsid w:val="003741FC"/>
    <w:rsid w:val="0037473E"/>
    <w:rsid w:val="003750E2"/>
    <w:rsid w:val="003751D0"/>
    <w:rsid w:val="0037551F"/>
    <w:rsid w:val="00375675"/>
    <w:rsid w:val="0037580D"/>
    <w:rsid w:val="003758DB"/>
    <w:rsid w:val="00375C16"/>
    <w:rsid w:val="00375C1B"/>
    <w:rsid w:val="00375C47"/>
    <w:rsid w:val="00375D82"/>
    <w:rsid w:val="003760AF"/>
    <w:rsid w:val="003765A2"/>
    <w:rsid w:val="003768E4"/>
    <w:rsid w:val="00376AC8"/>
    <w:rsid w:val="00376B99"/>
    <w:rsid w:val="00376EC8"/>
    <w:rsid w:val="00377007"/>
    <w:rsid w:val="0037729A"/>
    <w:rsid w:val="00377BAC"/>
    <w:rsid w:val="00377DE9"/>
    <w:rsid w:val="00377E81"/>
    <w:rsid w:val="00377EC7"/>
    <w:rsid w:val="003808D6"/>
    <w:rsid w:val="00381387"/>
    <w:rsid w:val="003817C4"/>
    <w:rsid w:val="00381FD3"/>
    <w:rsid w:val="003821DD"/>
    <w:rsid w:val="00382298"/>
    <w:rsid w:val="00382D90"/>
    <w:rsid w:val="00382EBB"/>
    <w:rsid w:val="00383455"/>
    <w:rsid w:val="003838B6"/>
    <w:rsid w:val="0038393E"/>
    <w:rsid w:val="00383D1C"/>
    <w:rsid w:val="00384BCA"/>
    <w:rsid w:val="003850B6"/>
    <w:rsid w:val="00385223"/>
    <w:rsid w:val="003852DD"/>
    <w:rsid w:val="00385812"/>
    <w:rsid w:val="00385B96"/>
    <w:rsid w:val="00386412"/>
    <w:rsid w:val="0038697F"/>
    <w:rsid w:val="00386B0B"/>
    <w:rsid w:val="00386DD9"/>
    <w:rsid w:val="00387402"/>
    <w:rsid w:val="003874F1"/>
    <w:rsid w:val="0039041C"/>
    <w:rsid w:val="003908D6"/>
    <w:rsid w:val="003917FA"/>
    <w:rsid w:val="00391C8B"/>
    <w:rsid w:val="00391E1D"/>
    <w:rsid w:val="00392529"/>
    <w:rsid w:val="003926C7"/>
    <w:rsid w:val="00392AE4"/>
    <w:rsid w:val="00392BDB"/>
    <w:rsid w:val="00392D79"/>
    <w:rsid w:val="0039326A"/>
    <w:rsid w:val="0039339D"/>
    <w:rsid w:val="0039391C"/>
    <w:rsid w:val="00394A9C"/>
    <w:rsid w:val="00395587"/>
    <w:rsid w:val="00395D3F"/>
    <w:rsid w:val="00396173"/>
    <w:rsid w:val="003966F6"/>
    <w:rsid w:val="00396A34"/>
    <w:rsid w:val="00396D8F"/>
    <w:rsid w:val="003970D5"/>
    <w:rsid w:val="003971ED"/>
    <w:rsid w:val="003A0372"/>
    <w:rsid w:val="003A0B2D"/>
    <w:rsid w:val="003A1521"/>
    <w:rsid w:val="003A1600"/>
    <w:rsid w:val="003A17BA"/>
    <w:rsid w:val="003A20B7"/>
    <w:rsid w:val="003A2535"/>
    <w:rsid w:val="003A30C7"/>
    <w:rsid w:val="003A31B2"/>
    <w:rsid w:val="003A3772"/>
    <w:rsid w:val="003A3FDB"/>
    <w:rsid w:val="003A4128"/>
    <w:rsid w:val="003A432A"/>
    <w:rsid w:val="003A43C9"/>
    <w:rsid w:val="003A4A7E"/>
    <w:rsid w:val="003A4DA2"/>
    <w:rsid w:val="003A5366"/>
    <w:rsid w:val="003A6858"/>
    <w:rsid w:val="003A68FD"/>
    <w:rsid w:val="003A6DAF"/>
    <w:rsid w:val="003A6E50"/>
    <w:rsid w:val="003A717F"/>
    <w:rsid w:val="003A752E"/>
    <w:rsid w:val="003A777E"/>
    <w:rsid w:val="003B03A1"/>
    <w:rsid w:val="003B0402"/>
    <w:rsid w:val="003B0527"/>
    <w:rsid w:val="003B0B91"/>
    <w:rsid w:val="003B0E17"/>
    <w:rsid w:val="003B0FCC"/>
    <w:rsid w:val="003B177A"/>
    <w:rsid w:val="003B18B7"/>
    <w:rsid w:val="003B193C"/>
    <w:rsid w:val="003B1EB0"/>
    <w:rsid w:val="003B351E"/>
    <w:rsid w:val="003B4C08"/>
    <w:rsid w:val="003B57D1"/>
    <w:rsid w:val="003B5C11"/>
    <w:rsid w:val="003B63E6"/>
    <w:rsid w:val="003B653F"/>
    <w:rsid w:val="003B6BF5"/>
    <w:rsid w:val="003B75AF"/>
    <w:rsid w:val="003B7D0E"/>
    <w:rsid w:val="003C057E"/>
    <w:rsid w:val="003C0EB8"/>
    <w:rsid w:val="003C0F3E"/>
    <w:rsid w:val="003C11E9"/>
    <w:rsid w:val="003C14EE"/>
    <w:rsid w:val="003C1803"/>
    <w:rsid w:val="003C1D6B"/>
    <w:rsid w:val="003C1F30"/>
    <w:rsid w:val="003C24CB"/>
    <w:rsid w:val="003C2934"/>
    <w:rsid w:val="003C3D7C"/>
    <w:rsid w:val="003C4673"/>
    <w:rsid w:val="003C475F"/>
    <w:rsid w:val="003C4C22"/>
    <w:rsid w:val="003C4CC2"/>
    <w:rsid w:val="003C5269"/>
    <w:rsid w:val="003C597E"/>
    <w:rsid w:val="003C5A5C"/>
    <w:rsid w:val="003C6178"/>
    <w:rsid w:val="003C647C"/>
    <w:rsid w:val="003C745D"/>
    <w:rsid w:val="003C7520"/>
    <w:rsid w:val="003C7837"/>
    <w:rsid w:val="003D09AB"/>
    <w:rsid w:val="003D0BBE"/>
    <w:rsid w:val="003D102F"/>
    <w:rsid w:val="003D142F"/>
    <w:rsid w:val="003D14C0"/>
    <w:rsid w:val="003D15A9"/>
    <w:rsid w:val="003D1B0F"/>
    <w:rsid w:val="003D2CF6"/>
    <w:rsid w:val="003D42BA"/>
    <w:rsid w:val="003D5732"/>
    <w:rsid w:val="003D64DF"/>
    <w:rsid w:val="003D64EF"/>
    <w:rsid w:val="003D6D25"/>
    <w:rsid w:val="003D761C"/>
    <w:rsid w:val="003D769C"/>
    <w:rsid w:val="003D78B6"/>
    <w:rsid w:val="003E02DE"/>
    <w:rsid w:val="003E065B"/>
    <w:rsid w:val="003E092A"/>
    <w:rsid w:val="003E0A9C"/>
    <w:rsid w:val="003E0B64"/>
    <w:rsid w:val="003E0DA0"/>
    <w:rsid w:val="003E0E16"/>
    <w:rsid w:val="003E148B"/>
    <w:rsid w:val="003E1602"/>
    <w:rsid w:val="003E1761"/>
    <w:rsid w:val="003E1D16"/>
    <w:rsid w:val="003E26F6"/>
    <w:rsid w:val="003E2892"/>
    <w:rsid w:val="003E2931"/>
    <w:rsid w:val="003E2AC3"/>
    <w:rsid w:val="003E2E2B"/>
    <w:rsid w:val="003E336E"/>
    <w:rsid w:val="003E357B"/>
    <w:rsid w:val="003E40F9"/>
    <w:rsid w:val="003E4150"/>
    <w:rsid w:val="003E42B0"/>
    <w:rsid w:val="003E506F"/>
    <w:rsid w:val="003E5145"/>
    <w:rsid w:val="003E589A"/>
    <w:rsid w:val="003E5B33"/>
    <w:rsid w:val="003E5CB0"/>
    <w:rsid w:val="003E5EA0"/>
    <w:rsid w:val="003E62EC"/>
    <w:rsid w:val="003E65C4"/>
    <w:rsid w:val="003E674C"/>
    <w:rsid w:val="003E6780"/>
    <w:rsid w:val="003E6ADA"/>
    <w:rsid w:val="003E715C"/>
    <w:rsid w:val="003E7212"/>
    <w:rsid w:val="003E793E"/>
    <w:rsid w:val="003E7A52"/>
    <w:rsid w:val="003F0134"/>
    <w:rsid w:val="003F0247"/>
    <w:rsid w:val="003F0362"/>
    <w:rsid w:val="003F0A62"/>
    <w:rsid w:val="003F0D1F"/>
    <w:rsid w:val="003F1AD7"/>
    <w:rsid w:val="003F1B71"/>
    <w:rsid w:val="003F2C8B"/>
    <w:rsid w:val="003F2D5C"/>
    <w:rsid w:val="003F2DBC"/>
    <w:rsid w:val="003F2FFD"/>
    <w:rsid w:val="003F3192"/>
    <w:rsid w:val="003F32B1"/>
    <w:rsid w:val="003F33B2"/>
    <w:rsid w:val="003F3641"/>
    <w:rsid w:val="003F3904"/>
    <w:rsid w:val="003F3B16"/>
    <w:rsid w:val="003F452A"/>
    <w:rsid w:val="003F4A24"/>
    <w:rsid w:val="003F4A4D"/>
    <w:rsid w:val="003F56B9"/>
    <w:rsid w:val="003F5B8E"/>
    <w:rsid w:val="003F5C3B"/>
    <w:rsid w:val="003F5DF6"/>
    <w:rsid w:val="003F60F4"/>
    <w:rsid w:val="003F6762"/>
    <w:rsid w:val="003F6D2C"/>
    <w:rsid w:val="003F6DA1"/>
    <w:rsid w:val="003F70AE"/>
    <w:rsid w:val="003F71EF"/>
    <w:rsid w:val="003F7546"/>
    <w:rsid w:val="003F7620"/>
    <w:rsid w:val="003F7C4E"/>
    <w:rsid w:val="0040009C"/>
    <w:rsid w:val="00400427"/>
    <w:rsid w:val="004009DC"/>
    <w:rsid w:val="00400FE4"/>
    <w:rsid w:val="004011B5"/>
    <w:rsid w:val="0040195C"/>
    <w:rsid w:val="00401C6C"/>
    <w:rsid w:val="004021F6"/>
    <w:rsid w:val="00402571"/>
    <w:rsid w:val="00402933"/>
    <w:rsid w:val="00402A1A"/>
    <w:rsid w:val="004031E6"/>
    <w:rsid w:val="0040338A"/>
    <w:rsid w:val="00403455"/>
    <w:rsid w:val="004039C1"/>
    <w:rsid w:val="00403CAB"/>
    <w:rsid w:val="00404012"/>
    <w:rsid w:val="0040402D"/>
    <w:rsid w:val="004041B7"/>
    <w:rsid w:val="00404305"/>
    <w:rsid w:val="0040431A"/>
    <w:rsid w:val="0040469B"/>
    <w:rsid w:val="0040482E"/>
    <w:rsid w:val="0040520A"/>
    <w:rsid w:val="004054A9"/>
    <w:rsid w:val="00405A21"/>
    <w:rsid w:val="00405EBF"/>
    <w:rsid w:val="00406C49"/>
    <w:rsid w:val="00407511"/>
    <w:rsid w:val="00407757"/>
    <w:rsid w:val="004079A3"/>
    <w:rsid w:val="00410368"/>
    <w:rsid w:val="0041111B"/>
    <w:rsid w:val="00411797"/>
    <w:rsid w:val="00411A8B"/>
    <w:rsid w:val="00411DB4"/>
    <w:rsid w:val="00411EF8"/>
    <w:rsid w:val="00412033"/>
    <w:rsid w:val="004122EF"/>
    <w:rsid w:val="004126D8"/>
    <w:rsid w:val="004128C5"/>
    <w:rsid w:val="004128EA"/>
    <w:rsid w:val="0041294B"/>
    <w:rsid w:val="004130BE"/>
    <w:rsid w:val="0041317A"/>
    <w:rsid w:val="004135D0"/>
    <w:rsid w:val="00413BA3"/>
    <w:rsid w:val="00414017"/>
    <w:rsid w:val="00414018"/>
    <w:rsid w:val="00414373"/>
    <w:rsid w:val="00414427"/>
    <w:rsid w:val="004144F5"/>
    <w:rsid w:val="00414613"/>
    <w:rsid w:val="0041480E"/>
    <w:rsid w:val="00414963"/>
    <w:rsid w:val="00414AA9"/>
    <w:rsid w:val="00414CB7"/>
    <w:rsid w:val="00414D1B"/>
    <w:rsid w:val="00415593"/>
    <w:rsid w:val="00415853"/>
    <w:rsid w:val="004158F8"/>
    <w:rsid w:val="00415AE3"/>
    <w:rsid w:val="00415B68"/>
    <w:rsid w:val="00416DA6"/>
    <w:rsid w:val="00416F77"/>
    <w:rsid w:val="00417B3D"/>
    <w:rsid w:val="0042010A"/>
    <w:rsid w:val="004201D3"/>
    <w:rsid w:val="00421B64"/>
    <w:rsid w:val="00421B6A"/>
    <w:rsid w:val="00421BFA"/>
    <w:rsid w:val="0042278C"/>
    <w:rsid w:val="00422A06"/>
    <w:rsid w:val="00422B6D"/>
    <w:rsid w:val="004230FB"/>
    <w:rsid w:val="00423294"/>
    <w:rsid w:val="0042344F"/>
    <w:rsid w:val="004242B3"/>
    <w:rsid w:val="004244AD"/>
    <w:rsid w:val="00424502"/>
    <w:rsid w:val="00424901"/>
    <w:rsid w:val="00424B2C"/>
    <w:rsid w:val="00424B67"/>
    <w:rsid w:val="00424ED6"/>
    <w:rsid w:val="00425BF6"/>
    <w:rsid w:val="00425C86"/>
    <w:rsid w:val="00426049"/>
    <w:rsid w:val="004261F5"/>
    <w:rsid w:val="0042676A"/>
    <w:rsid w:val="00426BCC"/>
    <w:rsid w:val="004270FB"/>
    <w:rsid w:val="0042712A"/>
    <w:rsid w:val="004273E7"/>
    <w:rsid w:val="00427784"/>
    <w:rsid w:val="00427EDF"/>
    <w:rsid w:val="00427F4A"/>
    <w:rsid w:val="004306E6"/>
    <w:rsid w:val="00430882"/>
    <w:rsid w:val="004308F7"/>
    <w:rsid w:val="00430A32"/>
    <w:rsid w:val="0043144E"/>
    <w:rsid w:val="00431568"/>
    <w:rsid w:val="004321B1"/>
    <w:rsid w:val="0043237D"/>
    <w:rsid w:val="0043244A"/>
    <w:rsid w:val="004325A6"/>
    <w:rsid w:val="004328F1"/>
    <w:rsid w:val="00432C7E"/>
    <w:rsid w:val="00432CA4"/>
    <w:rsid w:val="00432F6D"/>
    <w:rsid w:val="0043348B"/>
    <w:rsid w:val="00434293"/>
    <w:rsid w:val="00435201"/>
    <w:rsid w:val="0043578B"/>
    <w:rsid w:val="004358EB"/>
    <w:rsid w:val="00436273"/>
    <w:rsid w:val="00436BEE"/>
    <w:rsid w:val="00437444"/>
    <w:rsid w:val="004376D8"/>
    <w:rsid w:val="00437965"/>
    <w:rsid w:val="00437DBC"/>
    <w:rsid w:val="00440059"/>
    <w:rsid w:val="004405F6"/>
    <w:rsid w:val="00440601"/>
    <w:rsid w:val="00440890"/>
    <w:rsid w:val="00440AD8"/>
    <w:rsid w:val="00440D60"/>
    <w:rsid w:val="004411F1"/>
    <w:rsid w:val="00441536"/>
    <w:rsid w:val="00441611"/>
    <w:rsid w:val="00441A1B"/>
    <w:rsid w:val="00442381"/>
    <w:rsid w:val="004427F4"/>
    <w:rsid w:val="00443473"/>
    <w:rsid w:val="004437CB"/>
    <w:rsid w:val="00444160"/>
    <w:rsid w:val="00444434"/>
    <w:rsid w:val="00444454"/>
    <w:rsid w:val="004444D9"/>
    <w:rsid w:val="00444581"/>
    <w:rsid w:val="00444F75"/>
    <w:rsid w:val="00444FB6"/>
    <w:rsid w:val="004452C1"/>
    <w:rsid w:val="00446BAA"/>
    <w:rsid w:val="00446DAF"/>
    <w:rsid w:val="00447570"/>
    <w:rsid w:val="004478D5"/>
    <w:rsid w:val="0045099D"/>
    <w:rsid w:val="00450C30"/>
    <w:rsid w:val="004512E6"/>
    <w:rsid w:val="00451661"/>
    <w:rsid w:val="00452922"/>
    <w:rsid w:val="00452E83"/>
    <w:rsid w:val="00452F9F"/>
    <w:rsid w:val="00453142"/>
    <w:rsid w:val="004533F9"/>
    <w:rsid w:val="00453AD8"/>
    <w:rsid w:val="00454780"/>
    <w:rsid w:val="00455401"/>
    <w:rsid w:val="00456263"/>
    <w:rsid w:val="004562C5"/>
    <w:rsid w:val="00456585"/>
    <w:rsid w:val="0045765D"/>
    <w:rsid w:val="00457754"/>
    <w:rsid w:val="00457956"/>
    <w:rsid w:val="00457BCA"/>
    <w:rsid w:val="004603EF"/>
    <w:rsid w:val="00460680"/>
    <w:rsid w:val="00460714"/>
    <w:rsid w:val="00460B0F"/>
    <w:rsid w:val="00460FA3"/>
    <w:rsid w:val="00461027"/>
    <w:rsid w:val="00461081"/>
    <w:rsid w:val="004612A4"/>
    <w:rsid w:val="00461389"/>
    <w:rsid w:val="00461802"/>
    <w:rsid w:val="00461873"/>
    <w:rsid w:val="004621B9"/>
    <w:rsid w:val="0046291F"/>
    <w:rsid w:val="00462A44"/>
    <w:rsid w:val="00462C32"/>
    <w:rsid w:val="00463407"/>
    <w:rsid w:val="00463484"/>
    <w:rsid w:val="00463CE0"/>
    <w:rsid w:val="00463DEB"/>
    <w:rsid w:val="00463E01"/>
    <w:rsid w:val="00464269"/>
    <w:rsid w:val="00464982"/>
    <w:rsid w:val="00465618"/>
    <w:rsid w:val="00465C63"/>
    <w:rsid w:val="00465DB3"/>
    <w:rsid w:val="00466113"/>
    <w:rsid w:val="0046622F"/>
    <w:rsid w:val="0046632A"/>
    <w:rsid w:val="00466672"/>
    <w:rsid w:val="004669AF"/>
    <w:rsid w:val="00466DBF"/>
    <w:rsid w:val="00466EFC"/>
    <w:rsid w:val="00467496"/>
    <w:rsid w:val="00467A63"/>
    <w:rsid w:val="00470185"/>
    <w:rsid w:val="004701E4"/>
    <w:rsid w:val="0047020B"/>
    <w:rsid w:val="00470232"/>
    <w:rsid w:val="00470956"/>
    <w:rsid w:val="0047097E"/>
    <w:rsid w:val="00471BDF"/>
    <w:rsid w:val="00471DC9"/>
    <w:rsid w:val="00471E4E"/>
    <w:rsid w:val="00472399"/>
    <w:rsid w:val="004728FB"/>
    <w:rsid w:val="0047298C"/>
    <w:rsid w:val="004730B8"/>
    <w:rsid w:val="0047379C"/>
    <w:rsid w:val="00473890"/>
    <w:rsid w:val="00473975"/>
    <w:rsid w:val="00473B55"/>
    <w:rsid w:val="00473B6C"/>
    <w:rsid w:val="00474510"/>
    <w:rsid w:val="0047451E"/>
    <w:rsid w:val="0047497A"/>
    <w:rsid w:val="00474B8C"/>
    <w:rsid w:val="0047522C"/>
    <w:rsid w:val="004752B9"/>
    <w:rsid w:val="00475651"/>
    <w:rsid w:val="004757CB"/>
    <w:rsid w:val="004758B0"/>
    <w:rsid w:val="0047593B"/>
    <w:rsid w:val="00476AC8"/>
    <w:rsid w:val="00476D10"/>
    <w:rsid w:val="00476E03"/>
    <w:rsid w:val="00476E7F"/>
    <w:rsid w:val="00476F95"/>
    <w:rsid w:val="0047720D"/>
    <w:rsid w:val="00477242"/>
    <w:rsid w:val="004772E2"/>
    <w:rsid w:val="00477BF8"/>
    <w:rsid w:val="00477C04"/>
    <w:rsid w:val="00477F7B"/>
    <w:rsid w:val="0048028F"/>
    <w:rsid w:val="0048056A"/>
    <w:rsid w:val="0048057C"/>
    <w:rsid w:val="00480BDD"/>
    <w:rsid w:val="00480BEB"/>
    <w:rsid w:val="00480DFD"/>
    <w:rsid w:val="004810C3"/>
    <w:rsid w:val="00481488"/>
    <w:rsid w:val="00481A9D"/>
    <w:rsid w:val="00482066"/>
    <w:rsid w:val="00482166"/>
    <w:rsid w:val="004821EC"/>
    <w:rsid w:val="004823DA"/>
    <w:rsid w:val="00482B5B"/>
    <w:rsid w:val="00483380"/>
    <w:rsid w:val="00483413"/>
    <w:rsid w:val="004842CB"/>
    <w:rsid w:val="0048458F"/>
    <w:rsid w:val="0048485F"/>
    <w:rsid w:val="00484B85"/>
    <w:rsid w:val="00484D5E"/>
    <w:rsid w:val="00484E2B"/>
    <w:rsid w:val="004850F1"/>
    <w:rsid w:val="0048543F"/>
    <w:rsid w:val="00485F39"/>
    <w:rsid w:val="00485FD0"/>
    <w:rsid w:val="00486074"/>
    <w:rsid w:val="004864EF"/>
    <w:rsid w:val="004865AF"/>
    <w:rsid w:val="00486914"/>
    <w:rsid w:val="00486940"/>
    <w:rsid w:val="00486A0D"/>
    <w:rsid w:val="00486F11"/>
    <w:rsid w:val="004876C6"/>
    <w:rsid w:val="00487BDB"/>
    <w:rsid w:val="0049048D"/>
    <w:rsid w:val="00490562"/>
    <w:rsid w:val="00491516"/>
    <w:rsid w:val="004915CE"/>
    <w:rsid w:val="00491EA0"/>
    <w:rsid w:val="00492193"/>
    <w:rsid w:val="00492722"/>
    <w:rsid w:val="00492729"/>
    <w:rsid w:val="00492DE6"/>
    <w:rsid w:val="00492E71"/>
    <w:rsid w:val="004931F9"/>
    <w:rsid w:val="00493485"/>
    <w:rsid w:val="004934EF"/>
    <w:rsid w:val="0049467D"/>
    <w:rsid w:val="004946CE"/>
    <w:rsid w:val="004952B6"/>
    <w:rsid w:val="00495693"/>
    <w:rsid w:val="0049573E"/>
    <w:rsid w:val="00495938"/>
    <w:rsid w:val="00495CA4"/>
    <w:rsid w:val="00495E4B"/>
    <w:rsid w:val="00496212"/>
    <w:rsid w:val="004964C3"/>
    <w:rsid w:val="0049662E"/>
    <w:rsid w:val="00496642"/>
    <w:rsid w:val="00496C21"/>
    <w:rsid w:val="004971E2"/>
    <w:rsid w:val="00497806"/>
    <w:rsid w:val="004A0192"/>
    <w:rsid w:val="004A04FB"/>
    <w:rsid w:val="004A0594"/>
    <w:rsid w:val="004A09F0"/>
    <w:rsid w:val="004A0AC2"/>
    <w:rsid w:val="004A147C"/>
    <w:rsid w:val="004A22A6"/>
    <w:rsid w:val="004A2335"/>
    <w:rsid w:val="004A2F24"/>
    <w:rsid w:val="004A31F9"/>
    <w:rsid w:val="004A34D2"/>
    <w:rsid w:val="004A35AA"/>
    <w:rsid w:val="004A37C3"/>
    <w:rsid w:val="004A3A27"/>
    <w:rsid w:val="004A47E6"/>
    <w:rsid w:val="004A5228"/>
    <w:rsid w:val="004A5817"/>
    <w:rsid w:val="004A59BE"/>
    <w:rsid w:val="004A5A87"/>
    <w:rsid w:val="004A6563"/>
    <w:rsid w:val="004A7129"/>
    <w:rsid w:val="004A728B"/>
    <w:rsid w:val="004A7322"/>
    <w:rsid w:val="004A7886"/>
    <w:rsid w:val="004A7CAB"/>
    <w:rsid w:val="004A7D39"/>
    <w:rsid w:val="004A7DF4"/>
    <w:rsid w:val="004A7FBB"/>
    <w:rsid w:val="004B02EE"/>
    <w:rsid w:val="004B06B6"/>
    <w:rsid w:val="004B0C4C"/>
    <w:rsid w:val="004B0EB4"/>
    <w:rsid w:val="004B0F15"/>
    <w:rsid w:val="004B15C1"/>
    <w:rsid w:val="004B18C3"/>
    <w:rsid w:val="004B1C70"/>
    <w:rsid w:val="004B1F33"/>
    <w:rsid w:val="004B20FD"/>
    <w:rsid w:val="004B214A"/>
    <w:rsid w:val="004B230D"/>
    <w:rsid w:val="004B299D"/>
    <w:rsid w:val="004B2D9A"/>
    <w:rsid w:val="004B32B1"/>
    <w:rsid w:val="004B370F"/>
    <w:rsid w:val="004B3A5B"/>
    <w:rsid w:val="004B3BE8"/>
    <w:rsid w:val="004B3C72"/>
    <w:rsid w:val="004B3DEC"/>
    <w:rsid w:val="004B4144"/>
    <w:rsid w:val="004B47CD"/>
    <w:rsid w:val="004B4AF7"/>
    <w:rsid w:val="004B4EBB"/>
    <w:rsid w:val="004B4F4E"/>
    <w:rsid w:val="004B4F57"/>
    <w:rsid w:val="004B5194"/>
    <w:rsid w:val="004B532E"/>
    <w:rsid w:val="004B55F5"/>
    <w:rsid w:val="004B56DD"/>
    <w:rsid w:val="004B5850"/>
    <w:rsid w:val="004B5C7C"/>
    <w:rsid w:val="004B5F33"/>
    <w:rsid w:val="004B61AF"/>
    <w:rsid w:val="004B64B2"/>
    <w:rsid w:val="004B6681"/>
    <w:rsid w:val="004B728E"/>
    <w:rsid w:val="004B7F4E"/>
    <w:rsid w:val="004C0A82"/>
    <w:rsid w:val="004C0E39"/>
    <w:rsid w:val="004C1460"/>
    <w:rsid w:val="004C15EA"/>
    <w:rsid w:val="004C2D96"/>
    <w:rsid w:val="004C2FAA"/>
    <w:rsid w:val="004C32D7"/>
    <w:rsid w:val="004C3489"/>
    <w:rsid w:val="004C3CDE"/>
    <w:rsid w:val="004C3D23"/>
    <w:rsid w:val="004C3F49"/>
    <w:rsid w:val="004C4335"/>
    <w:rsid w:val="004C435D"/>
    <w:rsid w:val="004C45E0"/>
    <w:rsid w:val="004C48B8"/>
    <w:rsid w:val="004C48F4"/>
    <w:rsid w:val="004C4CAE"/>
    <w:rsid w:val="004C5168"/>
    <w:rsid w:val="004C5218"/>
    <w:rsid w:val="004C53D8"/>
    <w:rsid w:val="004C54D0"/>
    <w:rsid w:val="004C56EE"/>
    <w:rsid w:val="004C5817"/>
    <w:rsid w:val="004C608B"/>
    <w:rsid w:val="004C7398"/>
    <w:rsid w:val="004C7ED9"/>
    <w:rsid w:val="004C7FA1"/>
    <w:rsid w:val="004D036A"/>
    <w:rsid w:val="004D07F4"/>
    <w:rsid w:val="004D123B"/>
    <w:rsid w:val="004D132A"/>
    <w:rsid w:val="004D1A72"/>
    <w:rsid w:val="004D1CD3"/>
    <w:rsid w:val="004D2C64"/>
    <w:rsid w:val="004D2EC1"/>
    <w:rsid w:val="004D33AC"/>
    <w:rsid w:val="004D368D"/>
    <w:rsid w:val="004D4120"/>
    <w:rsid w:val="004D42D5"/>
    <w:rsid w:val="004D43C5"/>
    <w:rsid w:val="004D453A"/>
    <w:rsid w:val="004D4662"/>
    <w:rsid w:val="004D4714"/>
    <w:rsid w:val="004D4780"/>
    <w:rsid w:val="004D4EC3"/>
    <w:rsid w:val="004D4F86"/>
    <w:rsid w:val="004D5433"/>
    <w:rsid w:val="004D5973"/>
    <w:rsid w:val="004D6578"/>
    <w:rsid w:val="004D688E"/>
    <w:rsid w:val="004D6B98"/>
    <w:rsid w:val="004D717B"/>
    <w:rsid w:val="004D719B"/>
    <w:rsid w:val="004D744E"/>
    <w:rsid w:val="004D7485"/>
    <w:rsid w:val="004D7BAF"/>
    <w:rsid w:val="004D7F8C"/>
    <w:rsid w:val="004E02DE"/>
    <w:rsid w:val="004E0D43"/>
    <w:rsid w:val="004E1382"/>
    <w:rsid w:val="004E1B20"/>
    <w:rsid w:val="004E1D93"/>
    <w:rsid w:val="004E2175"/>
    <w:rsid w:val="004E2462"/>
    <w:rsid w:val="004E3444"/>
    <w:rsid w:val="004E35D5"/>
    <w:rsid w:val="004E368A"/>
    <w:rsid w:val="004E3E0B"/>
    <w:rsid w:val="004E48D0"/>
    <w:rsid w:val="004E4CDB"/>
    <w:rsid w:val="004E5436"/>
    <w:rsid w:val="004E56FC"/>
    <w:rsid w:val="004E5B92"/>
    <w:rsid w:val="004E662E"/>
    <w:rsid w:val="004E6BE2"/>
    <w:rsid w:val="004E6D14"/>
    <w:rsid w:val="004E7554"/>
    <w:rsid w:val="004E7795"/>
    <w:rsid w:val="004E7CDC"/>
    <w:rsid w:val="004E7FCD"/>
    <w:rsid w:val="004F0176"/>
    <w:rsid w:val="004F0BF7"/>
    <w:rsid w:val="004F0F42"/>
    <w:rsid w:val="004F0FFB"/>
    <w:rsid w:val="004F153E"/>
    <w:rsid w:val="004F1771"/>
    <w:rsid w:val="004F19FE"/>
    <w:rsid w:val="004F1EC7"/>
    <w:rsid w:val="004F23C3"/>
    <w:rsid w:val="004F2A46"/>
    <w:rsid w:val="004F376E"/>
    <w:rsid w:val="004F37DA"/>
    <w:rsid w:val="004F3C88"/>
    <w:rsid w:val="004F4065"/>
    <w:rsid w:val="004F42FE"/>
    <w:rsid w:val="004F4333"/>
    <w:rsid w:val="004F5B1B"/>
    <w:rsid w:val="004F5CA4"/>
    <w:rsid w:val="004F6C0D"/>
    <w:rsid w:val="004F7AE7"/>
    <w:rsid w:val="004F7C15"/>
    <w:rsid w:val="00500291"/>
    <w:rsid w:val="005002DB"/>
    <w:rsid w:val="00500420"/>
    <w:rsid w:val="0050045F"/>
    <w:rsid w:val="00500983"/>
    <w:rsid w:val="00500F16"/>
    <w:rsid w:val="00500FC0"/>
    <w:rsid w:val="005013FC"/>
    <w:rsid w:val="00501A84"/>
    <w:rsid w:val="00501C7A"/>
    <w:rsid w:val="00502111"/>
    <w:rsid w:val="00502555"/>
    <w:rsid w:val="0050293D"/>
    <w:rsid w:val="00502B95"/>
    <w:rsid w:val="00502C98"/>
    <w:rsid w:val="00503037"/>
    <w:rsid w:val="0050306B"/>
    <w:rsid w:val="00503FF2"/>
    <w:rsid w:val="00504553"/>
    <w:rsid w:val="00504978"/>
    <w:rsid w:val="00504F35"/>
    <w:rsid w:val="00505347"/>
    <w:rsid w:val="00505AA9"/>
    <w:rsid w:val="005064D4"/>
    <w:rsid w:val="005065C6"/>
    <w:rsid w:val="005066F5"/>
    <w:rsid w:val="00506BC5"/>
    <w:rsid w:val="005073A4"/>
    <w:rsid w:val="00507DCA"/>
    <w:rsid w:val="00510B5F"/>
    <w:rsid w:val="00510DD7"/>
    <w:rsid w:val="00511213"/>
    <w:rsid w:val="0051145C"/>
    <w:rsid w:val="005114DF"/>
    <w:rsid w:val="0051267E"/>
    <w:rsid w:val="00512B8C"/>
    <w:rsid w:val="00513117"/>
    <w:rsid w:val="00513FAC"/>
    <w:rsid w:val="00514300"/>
    <w:rsid w:val="00514365"/>
    <w:rsid w:val="00514B4B"/>
    <w:rsid w:val="00514B68"/>
    <w:rsid w:val="00515AB4"/>
    <w:rsid w:val="005160BA"/>
    <w:rsid w:val="0051731C"/>
    <w:rsid w:val="00517A30"/>
    <w:rsid w:val="00517D6E"/>
    <w:rsid w:val="005202D8"/>
    <w:rsid w:val="00520530"/>
    <w:rsid w:val="005206B5"/>
    <w:rsid w:val="00520FB8"/>
    <w:rsid w:val="00521210"/>
    <w:rsid w:val="0052127D"/>
    <w:rsid w:val="00521AF0"/>
    <w:rsid w:val="00522391"/>
    <w:rsid w:val="005228EF"/>
    <w:rsid w:val="005231CC"/>
    <w:rsid w:val="005236B5"/>
    <w:rsid w:val="00523983"/>
    <w:rsid w:val="00524336"/>
    <w:rsid w:val="00524AFF"/>
    <w:rsid w:val="00525AC3"/>
    <w:rsid w:val="00525CC2"/>
    <w:rsid w:val="0052614F"/>
    <w:rsid w:val="00526AB7"/>
    <w:rsid w:val="00526F05"/>
    <w:rsid w:val="00527265"/>
    <w:rsid w:val="005276C6"/>
    <w:rsid w:val="005277A4"/>
    <w:rsid w:val="0052788F"/>
    <w:rsid w:val="005278D9"/>
    <w:rsid w:val="00527DAE"/>
    <w:rsid w:val="005302D8"/>
    <w:rsid w:val="005303A5"/>
    <w:rsid w:val="0053046F"/>
    <w:rsid w:val="005305D1"/>
    <w:rsid w:val="005309A0"/>
    <w:rsid w:val="00530C7A"/>
    <w:rsid w:val="00530CC5"/>
    <w:rsid w:val="005310FC"/>
    <w:rsid w:val="0053134F"/>
    <w:rsid w:val="00531B9B"/>
    <w:rsid w:val="00531C67"/>
    <w:rsid w:val="005324AA"/>
    <w:rsid w:val="00532716"/>
    <w:rsid w:val="005327C0"/>
    <w:rsid w:val="00532C0F"/>
    <w:rsid w:val="00532CB0"/>
    <w:rsid w:val="00532E2F"/>
    <w:rsid w:val="00533CBD"/>
    <w:rsid w:val="00533E6C"/>
    <w:rsid w:val="00533EEE"/>
    <w:rsid w:val="0053487B"/>
    <w:rsid w:val="00534994"/>
    <w:rsid w:val="00534C5C"/>
    <w:rsid w:val="00535221"/>
    <w:rsid w:val="0053523E"/>
    <w:rsid w:val="00535627"/>
    <w:rsid w:val="005356CB"/>
    <w:rsid w:val="00535A18"/>
    <w:rsid w:val="00535CC5"/>
    <w:rsid w:val="005360FA"/>
    <w:rsid w:val="00536108"/>
    <w:rsid w:val="00536117"/>
    <w:rsid w:val="00536144"/>
    <w:rsid w:val="005362AD"/>
    <w:rsid w:val="00536354"/>
    <w:rsid w:val="00536A35"/>
    <w:rsid w:val="0053720E"/>
    <w:rsid w:val="005377ED"/>
    <w:rsid w:val="00537C79"/>
    <w:rsid w:val="00537DBB"/>
    <w:rsid w:val="00537DF1"/>
    <w:rsid w:val="00537E81"/>
    <w:rsid w:val="005409BC"/>
    <w:rsid w:val="00542299"/>
    <w:rsid w:val="005422CA"/>
    <w:rsid w:val="00542AF3"/>
    <w:rsid w:val="00542CCD"/>
    <w:rsid w:val="00542D46"/>
    <w:rsid w:val="005431C2"/>
    <w:rsid w:val="005432EF"/>
    <w:rsid w:val="00543495"/>
    <w:rsid w:val="00543C3F"/>
    <w:rsid w:val="005446F4"/>
    <w:rsid w:val="0054493D"/>
    <w:rsid w:val="00544991"/>
    <w:rsid w:val="00544E06"/>
    <w:rsid w:val="00545639"/>
    <w:rsid w:val="005457C8"/>
    <w:rsid w:val="00545856"/>
    <w:rsid w:val="0054586E"/>
    <w:rsid w:val="00545BF2"/>
    <w:rsid w:val="00545EF6"/>
    <w:rsid w:val="00545F25"/>
    <w:rsid w:val="00545FBD"/>
    <w:rsid w:val="005460AA"/>
    <w:rsid w:val="005461E8"/>
    <w:rsid w:val="00546592"/>
    <w:rsid w:val="00546A53"/>
    <w:rsid w:val="00546AAA"/>
    <w:rsid w:val="00546BA2"/>
    <w:rsid w:val="00546C27"/>
    <w:rsid w:val="00546ED5"/>
    <w:rsid w:val="005471E1"/>
    <w:rsid w:val="00547A13"/>
    <w:rsid w:val="00547A54"/>
    <w:rsid w:val="00547D47"/>
    <w:rsid w:val="00547D73"/>
    <w:rsid w:val="005500AA"/>
    <w:rsid w:val="00550321"/>
    <w:rsid w:val="00550433"/>
    <w:rsid w:val="005506D7"/>
    <w:rsid w:val="0055085E"/>
    <w:rsid w:val="00550BA5"/>
    <w:rsid w:val="00550C4F"/>
    <w:rsid w:val="00551215"/>
    <w:rsid w:val="005515C0"/>
    <w:rsid w:val="00551669"/>
    <w:rsid w:val="00551BFA"/>
    <w:rsid w:val="00551C22"/>
    <w:rsid w:val="0055249D"/>
    <w:rsid w:val="00552F43"/>
    <w:rsid w:val="00552FE2"/>
    <w:rsid w:val="00553117"/>
    <w:rsid w:val="0055341F"/>
    <w:rsid w:val="0055350B"/>
    <w:rsid w:val="00553599"/>
    <w:rsid w:val="00553EA0"/>
    <w:rsid w:val="00553F79"/>
    <w:rsid w:val="00553F83"/>
    <w:rsid w:val="005540F0"/>
    <w:rsid w:val="0055478B"/>
    <w:rsid w:val="005547D5"/>
    <w:rsid w:val="00554A0B"/>
    <w:rsid w:val="00554CC3"/>
    <w:rsid w:val="00555229"/>
    <w:rsid w:val="005554F8"/>
    <w:rsid w:val="00555933"/>
    <w:rsid w:val="00555C13"/>
    <w:rsid w:val="00555E65"/>
    <w:rsid w:val="00556027"/>
    <w:rsid w:val="00556091"/>
    <w:rsid w:val="00556CA5"/>
    <w:rsid w:val="00556F0C"/>
    <w:rsid w:val="005571F4"/>
    <w:rsid w:val="005576B4"/>
    <w:rsid w:val="00557BB7"/>
    <w:rsid w:val="00560272"/>
    <w:rsid w:val="005606F1"/>
    <w:rsid w:val="00560BFB"/>
    <w:rsid w:val="005612A6"/>
    <w:rsid w:val="005613E7"/>
    <w:rsid w:val="00562397"/>
    <w:rsid w:val="00562772"/>
    <w:rsid w:val="00563050"/>
    <w:rsid w:val="0056372D"/>
    <w:rsid w:val="005644BC"/>
    <w:rsid w:val="00565089"/>
    <w:rsid w:val="005654B5"/>
    <w:rsid w:val="0056556D"/>
    <w:rsid w:val="00565631"/>
    <w:rsid w:val="005658B6"/>
    <w:rsid w:val="00565C9C"/>
    <w:rsid w:val="00566121"/>
    <w:rsid w:val="0056675C"/>
    <w:rsid w:val="00566A06"/>
    <w:rsid w:val="00567F95"/>
    <w:rsid w:val="00567FF8"/>
    <w:rsid w:val="005706CB"/>
    <w:rsid w:val="00570C55"/>
    <w:rsid w:val="00570CC5"/>
    <w:rsid w:val="00571078"/>
    <w:rsid w:val="0057163B"/>
    <w:rsid w:val="005723CA"/>
    <w:rsid w:val="0057323B"/>
    <w:rsid w:val="00573734"/>
    <w:rsid w:val="00573B6B"/>
    <w:rsid w:val="00573BCC"/>
    <w:rsid w:val="005740E3"/>
    <w:rsid w:val="005747DB"/>
    <w:rsid w:val="00574870"/>
    <w:rsid w:val="00574A5E"/>
    <w:rsid w:val="00574A94"/>
    <w:rsid w:val="00574C75"/>
    <w:rsid w:val="00575454"/>
    <w:rsid w:val="00575CF7"/>
    <w:rsid w:val="00575E58"/>
    <w:rsid w:val="00576C47"/>
    <w:rsid w:val="00576C65"/>
    <w:rsid w:val="00576D82"/>
    <w:rsid w:val="00576F91"/>
    <w:rsid w:val="0057747E"/>
    <w:rsid w:val="00577951"/>
    <w:rsid w:val="00577974"/>
    <w:rsid w:val="00577C0C"/>
    <w:rsid w:val="00577EF5"/>
    <w:rsid w:val="00577F99"/>
    <w:rsid w:val="005808E6"/>
    <w:rsid w:val="00581056"/>
    <w:rsid w:val="0058127D"/>
    <w:rsid w:val="0058160D"/>
    <w:rsid w:val="00581B6A"/>
    <w:rsid w:val="00582347"/>
    <w:rsid w:val="0058279B"/>
    <w:rsid w:val="005832ED"/>
    <w:rsid w:val="00583A5C"/>
    <w:rsid w:val="00583BB3"/>
    <w:rsid w:val="00583DB5"/>
    <w:rsid w:val="005849B8"/>
    <w:rsid w:val="00584A42"/>
    <w:rsid w:val="00584F75"/>
    <w:rsid w:val="00585181"/>
    <w:rsid w:val="00585450"/>
    <w:rsid w:val="00585629"/>
    <w:rsid w:val="00585957"/>
    <w:rsid w:val="00585C96"/>
    <w:rsid w:val="00586183"/>
    <w:rsid w:val="005862DC"/>
    <w:rsid w:val="0058631C"/>
    <w:rsid w:val="0058680A"/>
    <w:rsid w:val="0058681E"/>
    <w:rsid w:val="00586930"/>
    <w:rsid w:val="00586985"/>
    <w:rsid w:val="00586B75"/>
    <w:rsid w:val="0058713B"/>
    <w:rsid w:val="00587589"/>
    <w:rsid w:val="005877C0"/>
    <w:rsid w:val="00587F13"/>
    <w:rsid w:val="0059020B"/>
    <w:rsid w:val="005903D3"/>
    <w:rsid w:val="005910B6"/>
    <w:rsid w:val="005912F3"/>
    <w:rsid w:val="005915C5"/>
    <w:rsid w:val="00591DDF"/>
    <w:rsid w:val="00591E72"/>
    <w:rsid w:val="00591F8B"/>
    <w:rsid w:val="0059200B"/>
    <w:rsid w:val="00592C04"/>
    <w:rsid w:val="00592E76"/>
    <w:rsid w:val="0059322C"/>
    <w:rsid w:val="005944C3"/>
    <w:rsid w:val="005956D4"/>
    <w:rsid w:val="00595BF0"/>
    <w:rsid w:val="00595CF6"/>
    <w:rsid w:val="00595F69"/>
    <w:rsid w:val="005965D0"/>
    <w:rsid w:val="00596957"/>
    <w:rsid w:val="00596FAA"/>
    <w:rsid w:val="0059710F"/>
    <w:rsid w:val="005974A7"/>
    <w:rsid w:val="005975AD"/>
    <w:rsid w:val="005977B9"/>
    <w:rsid w:val="005A0387"/>
    <w:rsid w:val="005A12E7"/>
    <w:rsid w:val="005A184F"/>
    <w:rsid w:val="005A1853"/>
    <w:rsid w:val="005A21C4"/>
    <w:rsid w:val="005A2423"/>
    <w:rsid w:val="005A2519"/>
    <w:rsid w:val="005A2629"/>
    <w:rsid w:val="005A28C6"/>
    <w:rsid w:val="005A3026"/>
    <w:rsid w:val="005A3993"/>
    <w:rsid w:val="005A3AA3"/>
    <w:rsid w:val="005A3B6F"/>
    <w:rsid w:val="005A49F7"/>
    <w:rsid w:val="005A4D57"/>
    <w:rsid w:val="005A5648"/>
    <w:rsid w:val="005A5ACE"/>
    <w:rsid w:val="005A6B49"/>
    <w:rsid w:val="005A791A"/>
    <w:rsid w:val="005A7C01"/>
    <w:rsid w:val="005B02BC"/>
    <w:rsid w:val="005B09F1"/>
    <w:rsid w:val="005B0EF6"/>
    <w:rsid w:val="005B102D"/>
    <w:rsid w:val="005B128C"/>
    <w:rsid w:val="005B1500"/>
    <w:rsid w:val="005B21BD"/>
    <w:rsid w:val="005B22FB"/>
    <w:rsid w:val="005B2959"/>
    <w:rsid w:val="005B2A7E"/>
    <w:rsid w:val="005B2B69"/>
    <w:rsid w:val="005B34DC"/>
    <w:rsid w:val="005B3B93"/>
    <w:rsid w:val="005B4E9F"/>
    <w:rsid w:val="005B5DE1"/>
    <w:rsid w:val="005B62BC"/>
    <w:rsid w:val="005B6615"/>
    <w:rsid w:val="005B68CF"/>
    <w:rsid w:val="005B6C62"/>
    <w:rsid w:val="005B6E67"/>
    <w:rsid w:val="005B7522"/>
    <w:rsid w:val="005B7692"/>
    <w:rsid w:val="005B77D1"/>
    <w:rsid w:val="005B7BAA"/>
    <w:rsid w:val="005B7E1C"/>
    <w:rsid w:val="005C0348"/>
    <w:rsid w:val="005C05C2"/>
    <w:rsid w:val="005C07FA"/>
    <w:rsid w:val="005C0877"/>
    <w:rsid w:val="005C0C15"/>
    <w:rsid w:val="005C1022"/>
    <w:rsid w:val="005C1E9E"/>
    <w:rsid w:val="005C2BD1"/>
    <w:rsid w:val="005C3913"/>
    <w:rsid w:val="005C3B96"/>
    <w:rsid w:val="005C3F0B"/>
    <w:rsid w:val="005C42F0"/>
    <w:rsid w:val="005C4528"/>
    <w:rsid w:val="005C4A33"/>
    <w:rsid w:val="005C4C1F"/>
    <w:rsid w:val="005C548F"/>
    <w:rsid w:val="005C558B"/>
    <w:rsid w:val="005C5660"/>
    <w:rsid w:val="005C5A94"/>
    <w:rsid w:val="005C63ED"/>
    <w:rsid w:val="005C648D"/>
    <w:rsid w:val="005C71D0"/>
    <w:rsid w:val="005C75D0"/>
    <w:rsid w:val="005C7961"/>
    <w:rsid w:val="005C7A94"/>
    <w:rsid w:val="005D0844"/>
    <w:rsid w:val="005D1126"/>
    <w:rsid w:val="005D1451"/>
    <w:rsid w:val="005D169F"/>
    <w:rsid w:val="005D16F4"/>
    <w:rsid w:val="005D1EBB"/>
    <w:rsid w:val="005D26F3"/>
    <w:rsid w:val="005D3507"/>
    <w:rsid w:val="005D3937"/>
    <w:rsid w:val="005D3C06"/>
    <w:rsid w:val="005D4A21"/>
    <w:rsid w:val="005D4EBF"/>
    <w:rsid w:val="005D4EC3"/>
    <w:rsid w:val="005D51E4"/>
    <w:rsid w:val="005D5419"/>
    <w:rsid w:val="005D5445"/>
    <w:rsid w:val="005D58B2"/>
    <w:rsid w:val="005D5A6C"/>
    <w:rsid w:val="005D5F12"/>
    <w:rsid w:val="005D6351"/>
    <w:rsid w:val="005D6C02"/>
    <w:rsid w:val="005D6C80"/>
    <w:rsid w:val="005D7D76"/>
    <w:rsid w:val="005D7E91"/>
    <w:rsid w:val="005D7FE4"/>
    <w:rsid w:val="005E0135"/>
    <w:rsid w:val="005E01AC"/>
    <w:rsid w:val="005E0527"/>
    <w:rsid w:val="005E0846"/>
    <w:rsid w:val="005E0F7C"/>
    <w:rsid w:val="005E109E"/>
    <w:rsid w:val="005E10DF"/>
    <w:rsid w:val="005E1234"/>
    <w:rsid w:val="005E1308"/>
    <w:rsid w:val="005E1414"/>
    <w:rsid w:val="005E1486"/>
    <w:rsid w:val="005E1542"/>
    <w:rsid w:val="005E195F"/>
    <w:rsid w:val="005E1B2F"/>
    <w:rsid w:val="005E1B67"/>
    <w:rsid w:val="005E2227"/>
    <w:rsid w:val="005E266A"/>
    <w:rsid w:val="005E2B19"/>
    <w:rsid w:val="005E2D18"/>
    <w:rsid w:val="005E38C1"/>
    <w:rsid w:val="005E3CB2"/>
    <w:rsid w:val="005E3F46"/>
    <w:rsid w:val="005E41DF"/>
    <w:rsid w:val="005E4358"/>
    <w:rsid w:val="005E47E2"/>
    <w:rsid w:val="005E4B4A"/>
    <w:rsid w:val="005E4E7C"/>
    <w:rsid w:val="005E55C3"/>
    <w:rsid w:val="005E56D1"/>
    <w:rsid w:val="005E708E"/>
    <w:rsid w:val="005E79F5"/>
    <w:rsid w:val="005E7CCB"/>
    <w:rsid w:val="005E7E78"/>
    <w:rsid w:val="005F0050"/>
    <w:rsid w:val="005F008E"/>
    <w:rsid w:val="005F01B5"/>
    <w:rsid w:val="005F03B8"/>
    <w:rsid w:val="005F09DD"/>
    <w:rsid w:val="005F0F92"/>
    <w:rsid w:val="005F126E"/>
    <w:rsid w:val="005F1531"/>
    <w:rsid w:val="005F15AE"/>
    <w:rsid w:val="005F217C"/>
    <w:rsid w:val="005F222B"/>
    <w:rsid w:val="005F2357"/>
    <w:rsid w:val="005F2B77"/>
    <w:rsid w:val="005F39C7"/>
    <w:rsid w:val="005F4286"/>
    <w:rsid w:val="005F4E93"/>
    <w:rsid w:val="005F5429"/>
    <w:rsid w:val="005F54F8"/>
    <w:rsid w:val="005F593F"/>
    <w:rsid w:val="005F59C8"/>
    <w:rsid w:val="005F6059"/>
    <w:rsid w:val="005F64C9"/>
    <w:rsid w:val="005F6553"/>
    <w:rsid w:val="005F723E"/>
    <w:rsid w:val="005F7583"/>
    <w:rsid w:val="005F76A7"/>
    <w:rsid w:val="005F7721"/>
    <w:rsid w:val="005F7AD9"/>
    <w:rsid w:val="005F7F24"/>
    <w:rsid w:val="00600073"/>
    <w:rsid w:val="006001CF"/>
    <w:rsid w:val="00600A4D"/>
    <w:rsid w:val="00600E1B"/>
    <w:rsid w:val="00601013"/>
    <w:rsid w:val="00601E68"/>
    <w:rsid w:val="006029AD"/>
    <w:rsid w:val="00602A7D"/>
    <w:rsid w:val="0060365D"/>
    <w:rsid w:val="006038B0"/>
    <w:rsid w:val="00603B76"/>
    <w:rsid w:val="00603BB8"/>
    <w:rsid w:val="00603E1F"/>
    <w:rsid w:val="00604191"/>
    <w:rsid w:val="006042C2"/>
    <w:rsid w:val="00604341"/>
    <w:rsid w:val="0060493F"/>
    <w:rsid w:val="006050B8"/>
    <w:rsid w:val="00605738"/>
    <w:rsid w:val="00605B32"/>
    <w:rsid w:val="00605B57"/>
    <w:rsid w:val="0060606F"/>
    <w:rsid w:val="006067A7"/>
    <w:rsid w:val="00606A30"/>
    <w:rsid w:val="00606D62"/>
    <w:rsid w:val="00606D72"/>
    <w:rsid w:val="0060744E"/>
    <w:rsid w:val="00607531"/>
    <w:rsid w:val="00607D31"/>
    <w:rsid w:val="006100C4"/>
    <w:rsid w:val="00610174"/>
    <w:rsid w:val="006104EB"/>
    <w:rsid w:val="00610AF0"/>
    <w:rsid w:val="00610B56"/>
    <w:rsid w:val="00610E06"/>
    <w:rsid w:val="00611415"/>
    <w:rsid w:val="006125C7"/>
    <w:rsid w:val="00612784"/>
    <w:rsid w:val="0061397E"/>
    <w:rsid w:val="00613A1E"/>
    <w:rsid w:val="00613A25"/>
    <w:rsid w:val="00613D65"/>
    <w:rsid w:val="00613DC6"/>
    <w:rsid w:val="00613FAB"/>
    <w:rsid w:val="00614487"/>
    <w:rsid w:val="006145CE"/>
    <w:rsid w:val="00614790"/>
    <w:rsid w:val="00614D13"/>
    <w:rsid w:val="00615770"/>
    <w:rsid w:val="0061613C"/>
    <w:rsid w:val="00616985"/>
    <w:rsid w:val="0061763B"/>
    <w:rsid w:val="006178F8"/>
    <w:rsid w:val="00617CFA"/>
    <w:rsid w:val="00620159"/>
    <w:rsid w:val="006202DD"/>
    <w:rsid w:val="00620ADA"/>
    <w:rsid w:val="00622252"/>
    <w:rsid w:val="006224F9"/>
    <w:rsid w:val="00622626"/>
    <w:rsid w:val="00622763"/>
    <w:rsid w:val="00622D96"/>
    <w:rsid w:val="00622F60"/>
    <w:rsid w:val="006234B1"/>
    <w:rsid w:val="006235C8"/>
    <w:rsid w:val="00623F40"/>
    <w:rsid w:val="006248BC"/>
    <w:rsid w:val="006248E2"/>
    <w:rsid w:val="00624905"/>
    <w:rsid w:val="00624CB1"/>
    <w:rsid w:val="00625071"/>
    <w:rsid w:val="00625169"/>
    <w:rsid w:val="006260E6"/>
    <w:rsid w:val="00626427"/>
    <w:rsid w:val="006265DD"/>
    <w:rsid w:val="00626EE6"/>
    <w:rsid w:val="0062710B"/>
    <w:rsid w:val="00627771"/>
    <w:rsid w:val="00627AFB"/>
    <w:rsid w:val="00630284"/>
    <w:rsid w:val="006305AC"/>
    <w:rsid w:val="006306DC"/>
    <w:rsid w:val="00630725"/>
    <w:rsid w:val="006309A3"/>
    <w:rsid w:val="00630BD5"/>
    <w:rsid w:val="0063108F"/>
    <w:rsid w:val="00631774"/>
    <w:rsid w:val="00631948"/>
    <w:rsid w:val="006320BC"/>
    <w:rsid w:val="006324EB"/>
    <w:rsid w:val="0063272C"/>
    <w:rsid w:val="006346DC"/>
    <w:rsid w:val="00634D3A"/>
    <w:rsid w:val="00634F23"/>
    <w:rsid w:val="0063507A"/>
    <w:rsid w:val="0063550B"/>
    <w:rsid w:val="00635644"/>
    <w:rsid w:val="006358EE"/>
    <w:rsid w:val="006359A2"/>
    <w:rsid w:val="00635E06"/>
    <w:rsid w:val="00636146"/>
    <w:rsid w:val="00636D8A"/>
    <w:rsid w:val="006379B1"/>
    <w:rsid w:val="00637A77"/>
    <w:rsid w:val="00640256"/>
    <w:rsid w:val="0064072F"/>
    <w:rsid w:val="0064196D"/>
    <w:rsid w:val="00641F48"/>
    <w:rsid w:val="00642162"/>
    <w:rsid w:val="006422BC"/>
    <w:rsid w:val="006422D5"/>
    <w:rsid w:val="00642420"/>
    <w:rsid w:val="00642530"/>
    <w:rsid w:val="0064333A"/>
    <w:rsid w:val="00643928"/>
    <w:rsid w:val="00643CFC"/>
    <w:rsid w:val="00643D82"/>
    <w:rsid w:val="00643FB2"/>
    <w:rsid w:val="00644345"/>
    <w:rsid w:val="006444A8"/>
    <w:rsid w:val="00644806"/>
    <w:rsid w:val="00644A11"/>
    <w:rsid w:val="00645E52"/>
    <w:rsid w:val="00646488"/>
    <w:rsid w:val="00646599"/>
    <w:rsid w:val="006468AC"/>
    <w:rsid w:val="006469E5"/>
    <w:rsid w:val="00646F92"/>
    <w:rsid w:val="006479AC"/>
    <w:rsid w:val="00647E37"/>
    <w:rsid w:val="00647E3C"/>
    <w:rsid w:val="006501ED"/>
    <w:rsid w:val="00650644"/>
    <w:rsid w:val="0065091D"/>
    <w:rsid w:val="00650FF7"/>
    <w:rsid w:val="006510EE"/>
    <w:rsid w:val="00651E59"/>
    <w:rsid w:val="0065236C"/>
    <w:rsid w:val="006527D1"/>
    <w:rsid w:val="00652DAC"/>
    <w:rsid w:val="00652F9A"/>
    <w:rsid w:val="00653017"/>
    <w:rsid w:val="006530CB"/>
    <w:rsid w:val="0065314D"/>
    <w:rsid w:val="006536DD"/>
    <w:rsid w:val="00653CA9"/>
    <w:rsid w:val="00654478"/>
    <w:rsid w:val="00654610"/>
    <w:rsid w:val="00654958"/>
    <w:rsid w:val="00654C66"/>
    <w:rsid w:val="00654D5C"/>
    <w:rsid w:val="0065519F"/>
    <w:rsid w:val="00655207"/>
    <w:rsid w:val="00656941"/>
    <w:rsid w:val="00656A61"/>
    <w:rsid w:val="00656BD1"/>
    <w:rsid w:val="00656D0F"/>
    <w:rsid w:val="00656F42"/>
    <w:rsid w:val="00657292"/>
    <w:rsid w:val="0065737B"/>
    <w:rsid w:val="0065748C"/>
    <w:rsid w:val="00657579"/>
    <w:rsid w:val="00657C8C"/>
    <w:rsid w:val="00657FE0"/>
    <w:rsid w:val="006600F3"/>
    <w:rsid w:val="00660B42"/>
    <w:rsid w:val="0066104C"/>
    <w:rsid w:val="00661C4C"/>
    <w:rsid w:val="00662064"/>
    <w:rsid w:val="0066207A"/>
    <w:rsid w:val="0066297F"/>
    <w:rsid w:val="00663605"/>
    <w:rsid w:val="00663B9A"/>
    <w:rsid w:val="00663C81"/>
    <w:rsid w:val="00663DDC"/>
    <w:rsid w:val="00663F3E"/>
    <w:rsid w:val="00663F46"/>
    <w:rsid w:val="00663F65"/>
    <w:rsid w:val="00664EFB"/>
    <w:rsid w:val="00664FB3"/>
    <w:rsid w:val="00665347"/>
    <w:rsid w:val="0066572C"/>
    <w:rsid w:val="006659F2"/>
    <w:rsid w:val="00666925"/>
    <w:rsid w:val="0066765C"/>
    <w:rsid w:val="00667E0A"/>
    <w:rsid w:val="0067053E"/>
    <w:rsid w:val="006709F0"/>
    <w:rsid w:val="00670C27"/>
    <w:rsid w:val="0067147C"/>
    <w:rsid w:val="00671536"/>
    <w:rsid w:val="00671844"/>
    <w:rsid w:val="00672073"/>
    <w:rsid w:val="00672942"/>
    <w:rsid w:val="00672A10"/>
    <w:rsid w:val="00672B44"/>
    <w:rsid w:val="0067305C"/>
    <w:rsid w:val="00673B1B"/>
    <w:rsid w:val="00673BA0"/>
    <w:rsid w:val="00674190"/>
    <w:rsid w:val="006741A7"/>
    <w:rsid w:val="006742DC"/>
    <w:rsid w:val="00674570"/>
    <w:rsid w:val="006749D2"/>
    <w:rsid w:val="00674CE0"/>
    <w:rsid w:val="00674EC2"/>
    <w:rsid w:val="00675294"/>
    <w:rsid w:val="006753B7"/>
    <w:rsid w:val="00675998"/>
    <w:rsid w:val="00675FA2"/>
    <w:rsid w:val="00676393"/>
    <w:rsid w:val="00676E70"/>
    <w:rsid w:val="00677546"/>
    <w:rsid w:val="00680421"/>
    <w:rsid w:val="00680460"/>
    <w:rsid w:val="006805C4"/>
    <w:rsid w:val="00680C81"/>
    <w:rsid w:val="006811FF"/>
    <w:rsid w:val="006814A3"/>
    <w:rsid w:val="0068180E"/>
    <w:rsid w:val="00681E14"/>
    <w:rsid w:val="00682243"/>
    <w:rsid w:val="00682AB8"/>
    <w:rsid w:val="00683847"/>
    <w:rsid w:val="006844FC"/>
    <w:rsid w:val="00684A14"/>
    <w:rsid w:val="00684AA8"/>
    <w:rsid w:val="00684BAA"/>
    <w:rsid w:val="00684D62"/>
    <w:rsid w:val="0068529B"/>
    <w:rsid w:val="00685307"/>
    <w:rsid w:val="006858B4"/>
    <w:rsid w:val="006862B6"/>
    <w:rsid w:val="0068630D"/>
    <w:rsid w:val="006865A6"/>
    <w:rsid w:val="006869E5"/>
    <w:rsid w:val="00687B00"/>
    <w:rsid w:val="00687CEE"/>
    <w:rsid w:val="006901B6"/>
    <w:rsid w:val="00690AEC"/>
    <w:rsid w:val="00690B79"/>
    <w:rsid w:val="00691485"/>
    <w:rsid w:val="00691496"/>
    <w:rsid w:val="0069194A"/>
    <w:rsid w:val="00691CC3"/>
    <w:rsid w:val="0069211A"/>
    <w:rsid w:val="0069260C"/>
    <w:rsid w:val="0069261C"/>
    <w:rsid w:val="00692777"/>
    <w:rsid w:val="00692CE0"/>
    <w:rsid w:val="00692EF1"/>
    <w:rsid w:val="00693AB4"/>
    <w:rsid w:val="00694155"/>
    <w:rsid w:val="006941C2"/>
    <w:rsid w:val="00694544"/>
    <w:rsid w:val="00694DFC"/>
    <w:rsid w:val="00694EFD"/>
    <w:rsid w:val="006952B2"/>
    <w:rsid w:val="0069555D"/>
    <w:rsid w:val="006956F3"/>
    <w:rsid w:val="00695BDA"/>
    <w:rsid w:val="00695CE8"/>
    <w:rsid w:val="00695DF6"/>
    <w:rsid w:val="0069603D"/>
    <w:rsid w:val="0069614F"/>
    <w:rsid w:val="006961F8"/>
    <w:rsid w:val="00696234"/>
    <w:rsid w:val="006965FF"/>
    <w:rsid w:val="006967DF"/>
    <w:rsid w:val="006974B1"/>
    <w:rsid w:val="006977C9"/>
    <w:rsid w:val="0069781C"/>
    <w:rsid w:val="006A0564"/>
    <w:rsid w:val="006A1765"/>
    <w:rsid w:val="006A1A39"/>
    <w:rsid w:val="006A1B6E"/>
    <w:rsid w:val="006A1C65"/>
    <w:rsid w:val="006A2BC6"/>
    <w:rsid w:val="006A2DC5"/>
    <w:rsid w:val="006A32A6"/>
    <w:rsid w:val="006A3F74"/>
    <w:rsid w:val="006A40A5"/>
    <w:rsid w:val="006A41C5"/>
    <w:rsid w:val="006A41E6"/>
    <w:rsid w:val="006A4DA5"/>
    <w:rsid w:val="006A51BA"/>
    <w:rsid w:val="006A5805"/>
    <w:rsid w:val="006A5D82"/>
    <w:rsid w:val="006A61C3"/>
    <w:rsid w:val="006A6964"/>
    <w:rsid w:val="006A6A9F"/>
    <w:rsid w:val="006A7B6B"/>
    <w:rsid w:val="006B02A3"/>
    <w:rsid w:val="006B0800"/>
    <w:rsid w:val="006B08B6"/>
    <w:rsid w:val="006B0A06"/>
    <w:rsid w:val="006B1C8D"/>
    <w:rsid w:val="006B1DD1"/>
    <w:rsid w:val="006B35B2"/>
    <w:rsid w:val="006B3A1B"/>
    <w:rsid w:val="006B3B8D"/>
    <w:rsid w:val="006B42AF"/>
    <w:rsid w:val="006B4819"/>
    <w:rsid w:val="006B4BE1"/>
    <w:rsid w:val="006B567F"/>
    <w:rsid w:val="006B5881"/>
    <w:rsid w:val="006B5C61"/>
    <w:rsid w:val="006B5F5B"/>
    <w:rsid w:val="006B6062"/>
    <w:rsid w:val="006B6390"/>
    <w:rsid w:val="006B63D5"/>
    <w:rsid w:val="006B67E5"/>
    <w:rsid w:val="006B6A76"/>
    <w:rsid w:val="006B6ADB"/>
    <w:rsid w:val="006B6DD0"/>
    <w:rsid w:val="006B6ED3"/>
    <w:rsid w:val="006B70B4"/>
    <w:rsid w:val="006B7948"/>
    <w:rsid w:val="006C05D2"/>
    <w:rsid w:val="006C1001"/>
    <w:rsid w:val="006C1226"/>
    <w:rsid w:val="006C142A"/>
    <w:rsid w:val="006C192F"/>
    <w:rsid w:val="006C195C"/>
    <w:rsid w:val="006C1A4E"/>
    <w:rsid w:val="006C2190"/>
    <w:rsid w:val="006C23FA"/>
    <w:rsid w:val="006C2403"/>
    <w:rsid w:val="006C2588"/>
    <w:rsid w:val="006C25EF"/>
    <w:rsid w:val="006C26C5"/>
    <w:rsid w:val="006C29E0"/>
    <w:rsid w:val="006C2D28"/>
    <w:rsid w:val="006C2E23"/>
    <w:rsid w:val="006C2F23"/>
    <w:rsid w:val="006C34DA"/>
    <w:rsid w:val="006C35DE"/>
    <w:rsid w:val="006C3678"/>
    <w:rsid w:val="006C3C48"/>
    <w:rsid w:val="006C40A4"/>
    <w:rsid w:val="006C43A3"/>
    <w:rsid w:val="006C48C2"/>
    <w:rsid w:val="006C4E1A"/>
    <w:rsid w:val="006C4ECD"/>
    <w:rsid w:val="006C516D"/>
    <w:rsid w:val="006C5F44"/>
    <w:rsid w:val="006C6706"/>
    <w:rsid w:val="006C6750"/>
    <w:rsid w:val="006C67F6"/>
    <w:rsid w:val="006C6DEE"/>
    <w:rsid w:val="006C740F"/>
    <w:rsid w:val="006C76A4"/>
    <w:rsid w:val="006C7763"/>
    <w:rsid w:val="006C7B24"/>
    <w:rsid w:val="006C7E7F"/>
    <w:rsid w:val="006D0285"/>
    <w:rsid w:val="006D1060"/>
    <w:rsid w:val="006D14E4"/>
    <w:rsid w:val="006D16C0"/>
    <w:rsid w:val="006D1D47"/>
    <w:rsid w:val="006D2051"/>
    <w:rsid w:val="006D2531"/>
    <w:rsid w:val="006D2D12"/>
    <w:rsid w:val="006D33A0"/>
    <w:rsid w:val="006D3406"/>
    <w:rsid w:val="006D35DA"/>
    <w:rsid w:val="006D3FA7"/>
    <w:rsid w:val="006D45B7"/>
    <w:rsid w:val="006D485A"/>
    <w:rsid w:val="006D58F8"/>
    <w:rsid w:val="006D5BC9"/>
    <w:rsid w:val="006D5F22"/>
    <w:rsid w:val="006D5FC3"/>
    <w:rsid w:val="006D5FFD"/>
    <w:rsid w:val="006D639F"/>
    <w:rsid w:val="006D6496"/>
    <w:rsid w:val="006D65B5"/>
    <w:rsid w:val="006D65E3"/>
    <w:rsid w:val="006D66F5"/>
    <w:rsid w:val="006D6A50"/>
    <w:rsid w:val="006D6D03"/>
    <w:rsid w:val="006D7414"/>
    <w:rsid w:val="006D76F4"/>
    <w:rsid w:val="006D7E10"/>
    <w:rsid w:val="006E0237"/>
    <w:rsid w:val="006E0515"/>
    <w:rsid w:val="006E1207"/>
    <w:rsid w:val="006E13E0"/>
    <w:rsid w:val="006E16A7"/>
    <w:rsid w:val="006E2167"/>
    <w:rsid w:val="006E2471"/>
    <w:rsid w:val="006E267D"/>
    <w:rsid w:val="006E34A8"/>
    <w:rsid w:val="006E3A35"/>
    <w:rsid w:val="006E3F9D"/>
    <w:rsid w:val="006E42A3"/>
    <w:rsid w:val="006E44FB"/>
    <w:rsid w:val="006E45DB"/>
    <w:rsid w:val="006E5216"/>
    <w:rsid w:val="006E53FD"/>
    <w:rsid w:val="006E5DB4"/>
    <w:rsid w:val="006E6040"/>
    <w:rsid w:val="006E6366"/>
    <w:rsid w:val="006E68CD"/>
    <w:rsid w:val="006E699E"/>
    <w:rsid w:val="006E6AC3"/>
    <w:rsid w:val="006E6C8F"/>
    <w:rsid w:val="006E6D7E"/>
    <w:rsid w:val="006E6F50"/>
    <w:rsid w:val="006E6F9B"/>
    <w:rsid w:val="006E74BD"/>
    <w:rsid w:val="006E7951"/>
    <w:rsid w:val="006E7B69"/>
    <w:rsid w:val="006E7F93"/>
    <w:rsid w:val="006F0260"/>
    <w:rsid w:val="006F05EC"/>
    <w:rsid w:val="006F082B"/>
    <w:rsid w:val="006F0C22"/>
    <w:rsid w:val="006F0CA6"/>
    <w:rsid w:val="006F1367"/>
    <w:rsid w:val="006F1A0D"/>
    <w:rsid w:val="006F1D5A"/>
    <w:rsid w:val="006F1D98"/>
    <w:rsid w:val="006F28CD"/>
    <w:rsid w:val="006F2A0C"/>
    <w:rsid w:val="006F2F93"/>
    <w:rsid w:val="006F3028"/>
    <w:rsid w:val="006F302E"/>
    <w:rsid w:val="006F3D8B"/>
    <w:rsid w:val="006F3D9A"/>
    <w:rsid w:val="006F3E93"/>
    <w:rsid w:val="006F3F01"/>
    <w:rsid w:val="006F40E6"/>
    <w:rsid w:val="006F4187"/>
    <w:rsid w:val="006F41F8"/>
    <w:rsid w:val="006F437F"/>
    <w:rsid w:val="006F49AE"/>
    <w:rsid w:val="006F542F"/>
    <w:rsid w:val="006F7235"/>
    <w:rsid w:val="006F7CE0"/>
    <w:rsid w:val="006F7FED"/>
    <w:rsid w:val="007000B3"/>
    <w:rsid w:val="00700309"/>
    <w:rsid w:val="00700A42"/>
    <w:rsid w:val="007010A8"/>
    <w:rsid w:val="007018C3"/>
    <w:rsid w:val="00701CFC"/>
    <w:rsid w:val="0070279F"/>
    <w:rsid w:val="0070368A"/>
    <w:rsid w:val="00703A10"/>
    <w:rsid w:val="00703A1D"/>
    <w:rsid w:val="00704555"/>
    <w:rsid w:val="007047AF"/>
    <w:rsid w:val="00704BCD"/>
    <w:rsid w:val="00704D35"/>
    <w:rsid w:val="00705A9E"/>
    <w:rsid w:val="00705CA3"/>
    <w:rsid w:val="00706168"/>
    <w:rsid w:val="00706E06"/>
    <w:rsid w:val="00707430"/>
    <w:rsid w:val="00707845"/>
    <w:rsid w:val="007078C6"/>
    <w:rsid w:val="00707933"/>
    <w:rsid w:val="007100EE"/>
    <w:rsid w:val="0071010C"/>
    <w:rsid w:val="00710916"/>
    <w:rsid w:val="00710C27"/>
    <w:rsid w:val="00710E9F"/>
    <w:rsid w:val="00710FFB"/>
    <w:rsid w:val="00711852"/>
    <w:rsid w:val="0071320F"/>
    <w:rsid w:val="00713345"/>
    <w:rsid w:val="007134A3"/>
    <w:rsid w:val="00713D4E"/>
    <w:rsid w:val="007145E8"/>
    <w:rsid w:val="007146D4"/>
    <w:rsid w:val="007148F4"/>
    <w:rsid w:val="00714DB1"/>
    <w:rsid w:val="00714E6C"/>
    <w:rsid w:val="00715053"/>
    <w:rsid w:val="00715110"/>
    <w:rsid w:val="00715484"/>
    <w:rsid w:val="00716640"/>
    <w:rsid w:val="00716881"/>
    <w:rsid w:val="007170A8"/>
    <w:rsid w:val="00717850"/>
    <w:rsid w:val="007178C3"/>
    <w:rsid w:val="0072043D"/>
    <w:rsid w:val="0072045D"/>
    <w:rsid w:val="00720549"/>
    <w:rsid w:val="00721098"/>
    <w:rsid w:val="0072136E"/>
    <w:rsid w:val="00721CB8"/>
    <w:rsid w:val="00722BE9"/>
    <w:rsid w:val="00722D7F"/>
    <w:rsid w:val="00723214"/>
    <w:rsid w:val="007232B5"/>
    <w:rsid w:val="0072356D"/>
    <w:rsid w:val="007235CA"/>
    <w:rsid w:val="0072396E"/>
    <w:rsid w:val="007243C9"/>
    <w:rsid w:val="00724C3D"/>
    <w:rsid w:val="00725029"/>
    <w:rsid w:val="0072508C"/>
    <w:rsid w:val="0072522E"/>
    <w:rsid w:val="00725383"/>
    <w:rsid w:val="00725C6C"/>
    <w:rsid w:val="0072605F"/>
    <w:rsid w:val="007269B9"/>
    <w:rsid w:val="00726CF9"/>
    <w:rsid w:val="00727131"/>
    <w:rsid w:val="00727537"/>
    <w:rsid w:val="007276EA"/>
    <w:rsid w:val="00727E7B"/>
    <w:rsid w:val="007301D6"/>
    <w:rsid w:val="00730F08"/>
    <w:rsid w:val="00731153"/>
    <w:rsid w:val="007316F6"/>
    <w:rsid w:val="00731B3E"/>
    <w:rsid w:val="00731BE4"/>
    <w:rsid w:val="007321E1"/>
    <w:rsid w:val="00732774"/>
    <w:rsid w:val="00732784"/>
    <w:rsid w:val="00732880"/>
    <w:rsid w:val="0073326A"/>
    <w:rsid w:val="00733C9A"/>
    <w:rsid w:val="00733F57"/>
    <w:rsid w:val="00734238"/>
    <w:rsid w:val="00734D62"/>
    <w:rsid w:val="0073523F"/>
    <w:rsid w:val="00735589"/>
    <w:rsid w:val="00735B6A"/>
    <w:rsid w:val="0073626A"/>
    <w:rsid w:val="00736534"/>
    <w:rsid w:val="00736555"/>
    <w:rsid w:val="0073676D"/>
    <w:rsid w:val="00736D44"/>
    <w:rsid w:val="0073765A"/>
    <w:rsid w:val="00737BDF"/>
    <w:rsid w:val="00737DCB"/>
    <w:rsid w:val="00737E6D"/>
    <w:rsid w:val="007400A5"/>
    <w:rsid w:val="00740254"/>
    <w:rsid w:val="00740562"/>
    <w:rsid w:val="00740CD4"/>
    <w:rsid w:val="007411BD"/>
    <w:rsid w:val="007417FC"/>
    <w:rsid w:val="00741C2A"/>
    <w:rsid w:val="00741E98"/>
    <w:rsid w:val="007426A8"/>
    <w:rsid w:val="00743050"/>
    <w:rsid w:val="00743691"/>
    <w:rsid w:val="0074375C"/>
    <w:rsid w:val="00743C3F"/>
    <w:rsid w:val="00743CE6"/>
    <w:rsid w:val="00743D45"/>
    <w:rsid w:val="00744063"/>
    <w:rsid w:val="007441E1"/>
    <w:rsid w:val="007447CA"/>
    <w:rsid w:val="00744933"/>
    <w:rsid w:val="00744BEB"/>
    <w:rsid w:val="00744F68"/>
    <w:rsid w:val="007452FD"/>
    <w:rsid w:val="007457E8"/>
    <w:rsid w:val="00745DDC"/>
    <w:rsid w:val="00746431"/>
    <w:rsid w:val="0074652E"/>
    <w:rsid w:val="00746D04"/>
    <w:rsid w:val="0074760A"/>
    <w:rsid w:val="00747625"/>
    <w:rsid w:val="00747881"/>
    <w:rsid w:val="007479A1"/>
    <w:rsid w:val="00747E85"/>
    <w:rsid w:val="00747F21"/>
    <w:rsid w:val="007505BE"/>
    <w:rsid w:val="00750E3A"/>
    <w:rsid w:val="00751122"/>
    <w:rsid w:val="007518B7"/>
    <w:rsid w:val="00751A86"/>
    <w:rsid w:val="00751C84"/>
    <w:rsid w:val="00751DFF"/>
    <w:rsid w:val="00751EF8"/>
    <w:rsid w:val="00752087"/>
    <w:rsid w:val="00752137"/>
    <w:rsid w:val="00752190"/>
    <w:rsid w:val="00752474"/>
    <w:rsid w:val="007528CA"/>
    <w:rsid w:val="00752EDD"/>
    <w:rsid w:val="00752FE5"/>
    <w:rsid w:val="0075319B"/>
    <w:rsid w:val="007538AC"/>
    <w:rsid w:val="007542E5"/>
    <w:rsid w:val="00754341"/>
    <w:rsid w:val="00754596"/>
    <w:rsid w:val="00754907"/>
    <w:rsid w:val="00754D2A"/>
    <w:rsid w:val="007552B4"/>
    <w:rsid w:val="0075559B"/>
    <w:rsid w:val="00755756"/>
    <w:rsid w:val="00755B84"/>
    <w:rsid w:val="00756307"/>
    <w:rsid w:val="00756822"/>
    <w:rsid w:val="00756D04"/>
    <w:rsid w:val="00756D2A"/>
    <w:rsid w:val="00756EB4"/>
    <w:rsid w:val="00756FFF"/>
    <w:rsid w:val="00757001"/>
    <w:rsid w:val="00757398"/>
    <w:rsid w:val="00757E45"/>
    <w:rsid w:val="0076085D"/>
    <w:rsid w:val="00760B99"/>
    <w:rsid w:val="00760FE0"/>
    <w:rsid w:val="00761888"/>
    <w:rsid w:val="00761DA7"/>
    <w:rsid w:val="00761EE3"/>
    <w:rsid w:val="00763384"/>
    <w:rsid w:val="00763484"/>
    <w:rsid w:val="00763686"/>
    <w:rsid w:val="00763727"/>
    <w:rsid w:val="00764056"/>
    <w:rsid w:val="00764228"/>
    <w:rsid w:val="00764733"/>
    <w:rsid w:val="00764848"/>
    <w:rsid w:val="00764CAE"/>
    <w:rsid w:val="00764EBA"/>
    <w:rsid w:val="0076580C"/>
    <w:rsid w:val="0076580D"/>
    <w:rsid w:val="007659EE"/>
    <w:rsid w:val="00765A9C"/>
    <w:rsid w:val="00766AE2"/>
    <w:rsid w:val="00766B37"/>
    <w:rsid w:val="00766CC2"/>
    <w:rsid w:val="00766D82"/>
    <w:rsid w:val="00766E62"/>
    <w:rsid w:val="0076764C"/>
    <w:rsid w:val="0076772D"/>
    <w:rsid w:val="00767C09"/>
    <w:rsid w:val="00770138"/>
    <w:rsid w:val="00770692"/>
    <w:rsid w:val="00770D77"/>
    <w:rsid w:val="0077155E"/>
    <w:rsid w:val="00771618"/>
    <w:rsid w:val="0077187D"/>
    <w:rsid w:val="007723A2"/>
    <w:rsid w:val="0077297E"/>
    <w:rsid w:val="0077347D"/>
    <w:rsid w:val="00773687"/>
    <w:rsid w:val="007738AF"/>
    <w:rsid w:val="007739AC"/>
    <w:rsid w:val="00773A07"/>
    <w:rsid w:val="00773F84"/>
    <w:rsid w:val="007740ED"/>
    <w:rsid w:val="007748B4"/>
    <w:rsid w:val="007749BF"/>
    <w:rsid w:val="00775BE1"/>
    <w:rsid w:val="00775C4B"/>
    <w:rsid w:val="00775D06"/>
    <w:rsid w:val="00775D1C"/>
    <w:rsid w:val="007764EE"/>
    <w:rsid w:val="0077680D"/>
    <w:rsid w:val="00776949"/>
    <w:rsid w:val="00776AF5"/>
    <w:rsid w:val="0077760E"/>
    <w:rsid w:val="00777880"/>
    <w:rsid w:val="00777A92"/>
    <w:rsid w:val="00777E91"/>
    <w:rsid w:val="00777FF5"/>
    <w:rsid w:val="00780956"/>
    <w:rsid w:val="007809E2"/>
    <w:rsid w:val="00780AC4"/>
    <w:rsid w:val="00780FBF"/>
    <w:rsid w:val="007815E2"/>
    <w:rsid w:val="00781EA1"/>
    <w:rsid w:val="00782358"/>
    <w:rsid w:val="00782D3C"/>
    <w:rsid w:val="00782EB1"/>
    <w:rsid w:val="0078309D"/>
    <w:rsid w:val="00783E2C"/>
    <w:rsid w:val="00783EC9"/>
    <w:rsid w:val="00783F3F"/>
    <w:rsid w:val="0078410C"/>
    <w:rsid w:val="007844C8"/>
    <w:rsid w:val="00784742"/>
    <w:rsid w:val="007850A3"/>
    <w:rsid w:val="00785156"/>
    <w:rsid w:val="00785A4F"/>
    <w:rsid w:val="00785C55"/>
    <w:rsid w:val="00785D7D"/>
    <w:rsid w:val="00786AD6"/>
    <w:rsid w:val="007877B7"/>
    <w:rsid w:val="007877E3"/>
    <w:rsid w:val="007903B8"/>
    <w:rsid w:val="0079050C"/>
    <w:rsid w:val="00790B14"/>
    <w:rsid w:val="007910F9"/>
    <w:rsid w:val="007919DD"/>
    <w:rsid w:val="007920D4"/>
    <w:rsid w:val="00792874"/>
    <w:rsid w:val="00792EDD"/>
    <w:rsid w:val="00793398"/>
    <w:rsid w:val="007933E0"/>
    <w:rsid w:val="00793A6C"/>
    <w:rsid w:val="00793F73"/>
    <w:rsid w:val="00794039"/>
    <w:rsid w:val="007940D8"/>
    <w:rsid w:val="00794406"/>
    <w:rsid w:val="00794410"/>
    <w:rsid w:val="00794491"/>
    <w:rsid w:val="00795327"/>
    <w:rsid w:val="00795458"/>
    <w:rsid w:val="007960A4"/>
    <w:rsid w:val="0079611C"/>
    <w:rsid w:val="00796B32"/>
    <w:rsid w:val="00796DB2"/>
    <w:rsid w:val="00796DBB"/>
    <w:rsid w:val="00796F13"/>
    <w:rsid w:val="00797F43"/>
    <w:rsid w:val="007A073B"/>
    <w:rsid w:val="007A08D2"/>
    <w:rsid w:val="007A0BA1"/>
    <w:rsid w:val="007A0CFB"/>
    <w:rsid w:val="007A0EBE"/>
    <w:rsid w:val="007A18BB"/>
    <w:rsid w:val="007A2DBD"/>
    <w:rsid w:val="007A323D"/>
    <w:rsid w:val="007A36BD"/>
    <w:rsid w:val="007A36F3"/>
    <w:rsid w:val="007A381D"/>
    <w:rsid w:val="007A38A3"/>
    <w:rsid w:val="007A3926"/>
    <w:rsid w:val="007A3BE3"/>
    <w:rsid w:val="007A43A2"/>
    <w:rsid w:val="007A4AA5"/>
    <w:rsid w:val="007A4CF1"/>
    <w:rsid w:val="007A6785"/>
    <w:rsid w:val="007A67A9"/>
    <w:rsid w:val="007A682C"/>
    <w:rsid w:val="007A6863"/>
    <w:rsid w:val="007A6BA8"/>
    <w:rsid w:val="007A7234"/>
    <w:rsid w:val="007A7620"/>
    <w:rsid w:val="007A772D"/>
    <w:rsid w:val="007A7779"/>
    <w:rsid w:val="007A7C03"/>
    <w:rsid w:val="007B0766"/>
    <w:rsid w:val="007B0D18"/>
    <w:rsid w:val="007B1128"/>
    <w:rsid w:val="007B14C0"/>
    <w:rsid w:val="007B1509"/>
    <w:rsid w:val="007B1525"/>
    <w:rsid w:val="007B172C"/>
    <w:rsid w:val="007B17D6"/>
    <w:rsid w:val="007B1835"/>
    <w:rsid w:val="007B1A55"/>
    <w:rsid w:val="007B2215"/>
    <w:rsid w:val="007B2370"/>
    <w:rsid w:val="007B250C"/>
    <w:rsid w:val="007B30EC"/>
    <w:rsid w:val="007B4595"/>
    <w:rsid w:val="007B47DB"/>
    <w:rsid w:val="007B4AEC"/>
    <w:rsid w:val="007B4B4D"/>
    <w:rsid w:val="007B4FE5"/>
    <w:rsid w:val="007B5702"/>
    <w:rsid w:val="007B57BC"/>
    <w:rsid w:val="007B6144"/>
    <w:rsid w:val="007B619F"/>
    <w:rsid w:val="007B6304"/>
    <w:rsid w:val="007B65B7"/>
    <w:rsid w:val="007B6DC6"/>
    <w:rsid w:val="007B6E26"/>
    <w:rsid w:val="007B6EA5"/>
    <w:rsid w:val="007C0063"/>
    <w:rsid w:val="007C0222"/>
    <w:rsid w:val="007C0B2B"/>
    <w:rsid w:val="007C1093"/>
    <w:rsid w:val="007C118B"/>
    <w:rsid w:val="007C1492"/>
    <w:rsid w:val="007C1BAD"/>
    <w:rsid w:val="007C1F94"/>
    <w:rsid w:val="007C317E"/>
    <w:rsid w:val="007C343A"/>
    <w:rsid w:val="007C3949"/>
    <w:rsid w:val="007C3CEE"/>
    <w:rsid w:val="007C3EE7"/>
    <w:rsid w:val="007C4317"/>
    <w:rsid w:val="007C4686"/>
    <w:rsid w:val="007C4D33"/>
    <w:rsid w:val="007C4DF4"/>
    <w:rsid w:val="007C513E"/>
    <w:rsid w:val="007C5443"/>
    <w:rsid w:val="007C597E"/>
    <w:rsid w:val="007C5A60"/>
    <w:rsid w:val="007C5B14"/>
    <w:rsid w:val="007C605C"/>
    <w:rsid w:val="007C6371"/>
    <w:rsid w:val="007C651E"/>
    <w:rsid w:val="007C702F"/>
    <w:rsid w:val="007C7C9D"/>
    <w:rsid w:val="007D0737"/>
    <w:rsid w:val="007D12F5"/>
    <w:rsid w:val="007D142B"/>
    <w:rsid w:val="007D1500"/>
    <w:rsid w:val="007D1BA6"/>
    <w:rsid w:val="007D1BDB"/>
    <w:rsid w:val="007D1E5E"/>
    <w:rsid w:val="007D2339"/>
    <w:rsid w:val="007D23CF"/>
    <w:rsid w:val="007D290B"/>
    <w:rsid w:val="007D3B1D"/>
    <w:rsid w:val="007D3D6E"/>
    <w:rsid w:val="007D49C6"/>
    <w:rsid w:val="007D4A75"/>
    <w:rsid w:val="007D4D31"/>
    <w:rsid w:val="007D54BE"/>
    <w:rsid w:val="007D5B60"/>
    <w:rsid w:val="007D63D0"/>
    <w:rsid w:val="007D67BD"/>
    <w:rsid w:val="007D6FB1"/>
    <w:rsid w:val="007D7053"/>
    <w:rsid w:val="007D7157"/>
    <w:rsid w:val="007D787D"/>
    <w:rsid w:val="007D7AD8"/>
    <w:rsid w:val="007D7CCA"/>
    <w:rsid w:val="007E022D"/>
    <w:rsid w:val="007E0538"/>
    <w:rsid w:val="007E06E5"/>
    <w:rsid w:val="007E08D3"/>
    <w:rsid w:val="007E0E1D"/>
    <w:rsid w:val="007E0ED4"/>
    <w:rsid w:val="007E1021"/>
    <w:rsid w:val="007E14EC"/>
    <w:rsid w:val="007E19D9"/>
    <w:rsid w:val="007E1CDA"/>
    <w:rsid w:val="007E1DDA"/>
    <w:rsid w:val="007E1ED8"/>
    <w:rsid w:val="007E2463"/>
    <w:rsid w:val="007E278E"/>
    <w:rsid w:val="007E283A"/>
    <w:rsid w:val="007E2B91"/>
    <w:rsid w:val="007E3696"/>
    <w:rsid w:val="007E39D7"/>
    <w:rsid w:val="007E4963"/>
    <w:rsid w:val="007E4A0E"/>
    <w:rsid w:val="007E52E4"/>
    <w:rsid w:val="007E600E"/>
    <w:rsid w:val="007E62B0"/>
    <w:rsid w:val="007E644D"/>
    <w:rsid w:val="007E6953"/>
    <w:rsid w:val="007E7054"/>
    <w:rsid w:val="007E7066"/>
    <w:rsid w:val="007E7658"/>
    <w:rsid w:val="007E794A"/>
    <w:rsid w:val="007F0483"/>
    <w:rsid w:val="007F0BAC"/>
    <w:rsid w:val="007F0F0E"/>
    <w:rsid w:val="007F15D8"/>
    <w:rsid w:val="007F1C50"/>
    <w:rsid w:val="007F2337"/>
    <w:rsid w:val="007F23AB"/>
    <w:rsid w:val="007F2518"/>
    <w:rsid w:val="007F28D5"/>
    <w:rsid w:val="007F2DFE"/>
    <w:rsid w:val="007F3B53"/>
    <w:rsid w:val="007F43ED"/>
    <w:rsid w:val="007F4513"/>
    <w:rsid w:val="007F54BC"/>
    <w:rsid w:val="007F5E9C"/>
    <w:rsid w:val="007F5F09"/>
    <w:rsid w:val="007F6082"/>
    <w:rsid w:val="007F60D6"/>
    <w:rsid w:val="007F66AC"/>
    <w:rsid w:val="007F6B58"/>
    <w:rsid w:val="007F6C9E"/>
    <w:rsid w:val="007F6E6B"/>
    <w:rsid w:val="007F7CED"/>
    <w:rsid w:val="008004D4"/>
    <w:rsid w:val="00801080"/>
    <w:rsid w:val="008015C6"/>
    <w:rsid w:val="008015E5"/>
    <w:rsid w:val="008018D8"/>
    <w:rsid w:val="0080282A"/>
    <w:rsid w:val="0080306A"/>
    <w:rsid w:val="00803675"/>
    <w:rsid w:val="008039E6"/>
    <w:rsid w:val="00803D35"/>
    <w:rsid w:val="00803E08"/>
    <w:rsid w:val="00805354"/>
    <w:rsid w:val="0080538E"/>
    <w:rsid w:val="008053F8"/>
    <w:rsid w:val="00805A29"/>
    <w:rsid w:val="00805AD6"/>
    <w:rsid w:val="00805F92"/>
    <w:rsid w:val="00806198"/>
    <w:rsid w:val="008061B8"/>
    <w:rsid w:val="0080639C"/>
    <w:rsid w:val="008066A3"/>
    <w:rsid w:val="00806850"/>
    <w:rsid w:val="00806A50"/>
    <w:rsid w:val="00806D35"/>
    <w:rsid w:val="00806DC6"/>
    <w:rsid w:val="00806DD4"/>
    <w:rsid w:val="00806E97"/>
    <w:rsid w:val="00807CA1"/>
    <w:rsid w:val="008103CB"/>
    <w:rsid w:val="00810720"/>
    <w:rsid w:val="008111C7"/>
    <w:rsid w:val="00811392"/>
    <w:rsid w:val="008113FE"/>
    <w:rsid w:val="00811413"/>
    <w:rsid w:val="00811574"/>
    <w:rsid w:val="00811678"/>
    <w:rsid w:val="00812939"/>
    <w:rsid w:val="00813017"/>
    <w:rsid w:val="00813025"/>
    <w:rsid w:val="0081320A"/>
    <w:rsid w:val="0081329A"/>
    <w:rsid w:val="008132B7"/>
    <w:rsid w:val="008137BB"/>
    <w:rsid w:val="008142F1"/>
    <w:rsid w:val="008147D1"/>
    <w:rsid w:val="00815558"/>
    <w:rsid w:val="0081574B"/>
    <w:rsid w:val="008158D4"/>
    <w:rsid w:val="0081590A"/>
    <w:rsid w:val="008160B9"/>
    <w:rsid w:val="008165C9"/>
    <w:rsid w:val="00817005"/>
    <w:rsid w:val="0081745D"/>
    <w:rsid w:val="00817778"/>
    <w:rsid w:val="008177CA"/>
    <w:rsid w:val="00817D0B"/>
    <w:rsid w:val="00820376"/>
    <w:rsid w:val="00820CB6"/>
    <w:rsid w:val="0082164C"/>
    <w:rsid w:val="00821D36"/>
    <w:rsid w:val="00821D81"/>
    <w:rsid w:val="00821E03"/>
    <w:rsid w:val="00822181"/>
    <w:rsid w:val="0082238B"/>
    <w:rsid w:val="00822551"/>
    <w:rsid w:val="008225E1"/>
    <w:rsid w:val="0082284C"/>
    <w:rsid w:val="0082292B"/>
    <w:rsid w:val="00822E2F"/>
    <w:rsid w:val="00823076"/>
    <w:rsid w:val="00823DDF"/>
    <w:rsid w:val="008243DA"/>
    <w:rsid w:val="00824604"/>
    <w:rsid w:val="008247AF"/>
    <w:rsid w:val="00824AD0"/>
    <w:rsid w:val="00824BA1"/>
    <w:rsid w:val="00824D47"/>
    <w:rsid w:val="00825A21"/>
    <w:rsid w:val="00826071"/>
    <w:rsid w:val="00826103"/>
    <w:rsid w:val="008261F3"/>
    <w:rsid w:val="0082691A"/>
    <w:rsid w:val="00827311"/>
    <w:rsid w:val="0082794C"/>
    <w:rsid w:val="00827CE7"/>
    <w:rsid w:val="00827D9F"/>
    <w:rsid w:val="00830147"/>
    <w:rsid w:val="0083062A"/>
    <w:rsid w:val="00830690"/>
    <w:rsid w:val="008309F9"/>
    <w:rsid w:val="008317FE"/>
    <w:rsid w:val="00831DA6"/>
    <w:rsid w:val="00831E1C"/>
    <w:rsid w:val="00831E91"/>
    <w:rsid w:val="0083233A"/>
    <w:rsid w:val="0083313A"/>
    <w:rsid w:val="00833881"/>
    <w:rsid w:val="008338E2"/>
    <w:rsid w:val="00834A51"/>
    <w:rsid w:val="00835EF8"/>
    <w:rsid w:val="00835EFD"/>
    <w:rsid w:val="00836943"/>
    <w:rsid w:val="00836EDA"/>
    <w:rsid w:val="00840258"/>
    <w:rsid w:val="00840882"/>
    <w:rsid w:val="00840A27"/>
    <w:rsid w:val="00840BD7"/>
    <w:rsid w:val="0084210B"/>
    <w:rsid w:val="0084299B"/>
    <w:rsid w:val="00842ADD"/>
    <w:rsid w:val="00842D01"/>
    <w:rsid w:val="00842E6A"/>
    <w:rsid w:val="0084307D"/>
    <w:rsid w:val="008439A8"/>
    <w:rsid w:val="00844398"/>
    <w:rsid w:val="00844895"/>
    <w:rsid w:val="0084538F"/>
    <w:rsid w:val="008456C5"/>
    <w:rsid w:val="008459CA"/>
    <w:rsid w:val="00845E42"/>
    <w:rsid w:val="0084602D"/>
    <w:rsid w:val="00846461"/>
    <w:rsid w:val="00846E65"/>
    <w:rsid w:val="008473FC"/>
    <w:rsid w:val="00847415"/>
    <w:rsid w:val="00847E4E"/>
    <w:rsid w:val="00850547"/>
    <w:rsid w:val="00850585"/>
    <w:rsid w:val="00850DA3"/>
    <w:rsid w:val="00850FAC"/>
    <w:rsid w:val="00851276"/>
    <w:rsid w:val="00851353"/>
    <w:rsid w:val="00851C63"/>
    <w:rsid w:val="00851D2B"/>
    <w:rsid w:val="00851DAE"/>
    <w:rsid w:val="00852EAA"/>
    <w:rsid w:val="00852FFE"/>
    <w:rsid w:val="00853145"/>
    <w:rsid w:val="00853322"/>
    <w:rsid w:val="008536E8"/>
    <w:rsid w:val="0085391E"/>
    <w:rsid w:val="00853E60"/>
    <w:rsid w:val="008545BB"/>
    <w:rsid w:val="008547A4"/>
    <w:rsid w:val="00854F05"/>
    <w:rsid w:val="0085520F"/>
    <w:rsid w:val="00855499"/>
    <w:rsid w:val="008554CF"/>
    <w:rsid w:val="00855C02"/>
    <w:rsid w:val="00855E03"/>
    <w:rsid w:val="008570E4"/>
    <w:rsid w:val="008574DC"/>
    <w:rsid w:val="00857936"/>
    <w:rsid w:val="00857FF1"/>
    <w:rsid w:val="00860826"/>
    <w:rsid w:val="00860CAD"/>
    <w:rsid w:val="00861815"/>
    <w:rsid w:val="00861F4A"/>
    <w:rsid w:val="00862194"/>
    <w:rsid w:val="00862258"/>
    <w:rsid w:val="0086289D"/>
    <w:rsid w:val="008630C2"/>
    <w:rsid w:val="0086353E"/>
    <w:rsid w:val="008636BF"/>
    <w:rsid w:val="00863AD2"/>
    <w:rsid w:val="008644A6"/>
    <w:rsid w:val="00864569"/>
    <w:rsid w:val="0086465F"/>
    <w:rsid w:val="008646C4"/>
    <w:rsid w:val="008654D6"/>
    <w:rsid w:val="00865553"/>
    <w:rsid w:val="00865DE8"/>
    <w:rsid w:val="008662FA"/>
    <w:rsid w:val="008663F3"/>
    <w:rsid w:val="008664EA"/>
    <w:rsid w:val="00866672"/>
    <w:rsid w:val="00866DD2"/>
    <w:rsid w:val="00866F87"/>
    <w:rsid w:val="008671F9"/>
    <w:rsid w:val="00867222"/>
    <w:rsid w:val="00867299"/>
    <w:rsid w:val="00870071"/>
    <w:rsid w:val="008700A3"/>
    <w:rsid w:val="0087055B"/>
    <w:rsid w:val="00870BC4"/>
    <w:rsid w:val="00870D93"/>
    <w:rsid w:val="00870E74"/>
    <w:rsid w:val="00870EF4"/>
    <w:rsid w:val="008714C2"/>
    <w:rsid w:val="008714C5"/>
    <w:rsid w:val="00871565"/>
    <w:rsid w:val="0087163A"/>
    <w:rsid w:val="008717BD"/>
    <w:rsid w:val="00871893"/>
    <w:rsid w:val="00871B35"/>
    <w:rsid w:val="00871B3D"/>
    <w:rsid w:val="008721B0"/>
    <w:rsid w:val="00872261"/>
    <w:rsid w:val="00872F32"/>
    <w:rsid w:val="00872F5C"/>
    <w:rsid w:val="00873050"/>
    <w:rsid w:val="00873094"/>
    <w:rsid w:val="008733BE"/>
    <w:rsid w:val="00874128"/>
    <w:rsid w:val="00874210"/>
    <w:rsid w:val="0087462E"/>
    <w:rsid w:val="00874EE5"/>
    <w:rsid w:val="0087548D"/>
    <w:rsid w:val="008758C3"/>
    <w:rsid w:val="008776E2"/>
    <w:rsid w:val="00877707"/>
    <w:rsid w:val="00877802"/>
    <w:rsid w:val="00877EDC"/>
    <w:rsid w:val="0088005A"/>
    <w:rsid w:val="008803AF"/>
    <w:rsid w:val="00880485"/>
    <w:rsid w:val="008804E6"/>
    <w:rsid w:val="00880506"/>
    <w:rsid w:val="008808CA"/>
    <w:rsid w:val="00880925"/>
    <w:rsid w:val="00881131"/>
    <w:rsid w:val="0088131E"/>
    <w:rsid w:val="008817B9"/>
    <w:rsid w:val="00882932"/>
    <w:rsid w:val="008829E0"/>
    <w:rsid w:val="00882D27"/>
    <w:rsid w:val="00883052"/>
    <w:rsid w:val="008832FB"/>
    <w:rsid w:val="008838FC"/>
    <w:rsid w:val="00883A1C"/>
    <w:rsid w:val="0088443F"/>
    <w:rsid w:val="008844B5"/>
    <w:rsid w:val="008848C3"/>
    <w:rsid w:val="0088526C"/>
    <w:rsid w:val="008852FA"/>
    <w:rsid w:val="008863D7"/>
    <w:rsid w:val="00886912"/>
    <w:rsid w:val="00886990"/>
    <w:rsid w:val="00886CEA"/>
    <w:rsid w:val="00886F86"/>
    <w:rsid w:val="00887133"/>
    <w:rsid w:val="008874FB"/>
    <w:rsid w:val="0088764F"/>
    <w:rsid w:val="00887A0A"/>
    <w:rsid w:val="00891043"/>
    <w:rsid w:val="00891517"/>
    <w:rsid w:val="008917CD"/>
    <w:rsid w:val="008918B9"/>
    <w:rsid w:val="008923D9"/>
    <w:rsid w:val="00892DCF"/>
    <w:rsid w:val="00893D80"/>
    <w:rsid w:val="00894161"/>
    <w:rsid w:val="00894687"/>
    <w:rsid w:val="00894D04"/>
    <w:rsid w:val="00894D82"/>
    <w:rsid w:val="0089587B"/>
    <w:rsid w:val="00895B23"/>
    <w:rsid w:val="00895D03"/>
    <w:rsid w:val="00897007"/>
    <w:rsid w:val="008971F9"/>
    <w:rsid w:val="008974BE"/>
    <w:rsid w:val="00897A2A"/>
    <w:rsid w:val="008A00EC"/>
    <w:rsid w:val="008A0538"/>
    <w:rsid w:val="008A0D9D"/>
    <w:rsid w:val="008A0E2A"/>
    <w:rsid w:val="008A1194"/>
    <w:rsid w:val="008A11FC"/>
    <w:rsid w:val="008A14A1"/>
    <w:rsid w:val="008A17E4"/>
    <w:rsid w:val="008A1C03"/>
    <w:rsid w:val="008A1E57"/>
    <w:rsid w:val="008A1EEE"/>
    <w:rsid w:val="008A1FE2"/>
    <w:rsid w:val="008A2B82"/>
    <w:rsid w:val="008A2CE7"/>
    <w:rsid w:val="008A3061"/>
    <w:rsid w:val="008A3324"/>
    <w:rsid w:val="008A3A7E"/>
    <w:rsid w:val="008A3B5F"/>
    <w:rsid w:val="008A4052"/>
    <w:rsid w:val="008A40D5"/>
    <w:rsid w:val="008A4656"/>
    <w:rsid w:val="008A4ABD"/>
    <w:rsid w:val="008A4FC2"/>
    <w:rsid w:val="008A539A"/>
    <w:rsid w:val="008A5553"/>
    <w:rsid w:val="008A5A27"/>
    <w:rsid w:val="008A5A8B"/>
    <w:rsid w:val="008A5B93"/>
    <w:rsid w:val="008A6548"/>
    <w:rsid w:val="008A6A4F"/>
    <w:rsid w:val="008A7371"/>
    <w:rsid w:val="008A794E"/>
    <w:rsid w:val="008B040B"/>
    <w:rsid w:val="008B0725"/>
    <w:rsid w:val="008B08B5"/>
    <w:rsid w:val="008B09A9"/>
    <w:rsid w:val="008B0BCF"/>
    <w:rsid w:val="008B1493"/>
    <w:rsid w:val="008B1BF1"/>
    <w:rsid w:val="008B1D4B"/>
    <w:rsid w:val="008B1E83"/>
    <w:rsid w:val="008B2567"/>
    <w:rsid w:val="008B257A"/>
    <w:rsid w:val="008B2734"/>
    <w:rsid w:val="008B27B3"/>
    <w:rsid w:val="008B2C82"/>
    <w:rsid w:val="008B2FBD"/>
    <w:rsid w:val="008B42BB"/>
    <w:rsid w:val="008B4390"/>
    <w:rsid w:val="008B47FD"/>
    <w:rsid w:val="008B4981"/>
    <w:rsid w:val="008B4B17"/>
    <w:rsid w:val="008B4C01"/>
    <w:rsid w:val="008B4E8C"/>
    <w:rsid w:val="008B50F9"/>
    <w:rsid w:val="008B517C"/>
    <w:rsid w:val="008B5548"/>
    <w:rsid w:val="008B56F3"/>
    <w:rsid w:val="008B5C46"/>
    <w:rsid w:val="008B6081"/>
    <w:rsid w:val="008B68F7"/>
    <w:rsid w:val="008B6E6B"/>
    <w:rsid w:val="008B6ECB"/>
    <w:rsid w:val="008B7548"/>
    <w:rsid w:val="008B7B54"/>
    <w:rsid w:val="008B7C25"/>
    <w:rsid w:val="008C00D9"/>
    <w:rsid w:val="008C030A"/>
    <w:rsid w:val="008C04A3"/>
    <w:rsid w:val="008C067B"/>
    <w:rsid w:val="008C0811"/>
    <w:rsid w:val="008C13D1"/>
    <w:rsid w:val="008C1A2F"/>
    <w:rsid w:val="008C1E7A"/>
    <w:rsid w:val="008C1EAB"/>
    <w:rsid w:val="008C2618"/>
    <w:rsid w:val="008C2C3E"/>
    <w:rsid w:val="008C34F5"/>
    <w:rsid w:val="008C38C8"/>
    <w:rsid w:val="008C3B4E"/>
    <w:rsid w:val="008C3C2D"/>
    <w:rsid w:val="008C3DE2"/>
    <w:rsid w:val="008C4FC3"/>
    <w:rsid w:val="008C5717"/>
    <w:rsid w:val="008C5EC2"/>
    <w:rsid w:val="008C5F44"/>
    <w:rsid w:val="008C7543"/>
    <w:rsid w:val="008C7619"/>
    <w:rsid w:val="008C7D8F"/>
    <w:rsid w:val="008D028A"/>
    <w:rsid w:val="008D0480"/>
    <w:rsid w:val="008D08B3"/>
    <w:rsid w:val="008D092C"/>
    <w:rsid w:val="008D10A9"/>
    <w:rsid w:val="008D10CD"/>
    <w:rsid w:val="008D1288"/>
    <w:rsid w:val="008D13B1"/>
    <w:rsid w:val="008D17C5"/>
    <w:rsid w:val="008D2354"/>
    <w:rsid w:val="008D2BBD"/>
    <w:rsid w:val="008D2CDE"/>
    <w:rsid w:val="008D3254"/>
    <w:rsid w:val="008D37DE"/>
    <w:rsid w:val="008D3C9E"/>
    <w:rsid w:val="008D3F50"/>
    <w:rsid w:val="008D45A4"/>
    <w:rsid w:val="008D464F"/>
    <w:rsid w:val="008D47AF"/>
    <w:rsid w:val="008D4803"/>
    <w:rsid w:val="008D5246"/>
    <w:rsid w:val="008D5346"/>
    <w:rsid w:val="008D5A38"/>
    <w:rsid w:val="008D5BBA"/>
    <w:rsid w:val="008D5D76"/>
    <w:rsid w:val="008D730D"/>
    <w:rsid w:val="008D7BE8"/>
    <w:rsid w:val="008E0974"/>
    <w:rsid w:val="008E0C1D"/>
    <w:rsid w:val="008E1A55"/>
    <w:rsid w:val="008E1AC6"/>
    <w:rsid w:val="008E20DB"/>
    <w:rsid w:val="008E3DC9"/>
    <w:rsid w:val="008E4C41"/>
    <w:rsid w:val="008E4C5C"/>
    <w:rsid w:val="008E55A1"/>
    <w:rsid w:val="008E59DF"/>
    <w:rsid w:val="008E5EF0"/>
    <w:rsid w:val="008E6037"/>
    <w:rsid w:val="008E621A"/>
    <w:rsid w:val="008E6514"/>
    <w:rsid w:val="008E6DE1"/>
    <w:rsid w:val="008E7494"/>
    <w:rsid w:val="008E7585"/>
    <w:rsid w:val="008E7878"/>
    <w:rsid w:val="008E791E"/>
    <w:rsid w:val="008E7BB5"/>
    <w:rsid w:val="008E7D9D"/>
    <w:rsid w:val="008F0171"/>
    <w:rsid w:val="008F02FA"/>
    <w:rsid w:val="008F032C"/>
    <w:rsid w:val="008F0470"/>
    <w:rsid w:val="008F0AA1"/>
    <w:rsid w:val="008F0B51"/>
    <w:rsid w:val="008F0B74"/>
    <w:rsid w:val="008F0CB2"/>
    <w:rsid w:val="008F11F9"/>
    <w:rsid w:val="008F12E8"/>
    <w:rsid w:val="008F16A0"/>
    <w:rsid w:val="008F1EC1"/>
    <w:rsid w:val="008F2C01"/>
    <w:rsid w:val="008F2CA9"/>
    <w:rsid w:val="008F2CEB"/>
    <w:rsid w:val="008F2EAB"/>
    <w:rsid w:val="008F2ED4"/>
    <w:rsid w:val="008F33E0"/>
    <w:rsid w:val="008F34D5"/>
    <w:rsid w:val="008F3641"/>
    <w:rsid w:val="008F3B0E"/>
    <w:rsid w:val="008F5250"/>
    <w:rsid w:val="008F57AC"/>
    <w:rsid w:val="008F608F"/>
    <w:rsid w:val="008F6B91"/>
    <w:rsid w:val="008F6DDF"/>
    <w:rsid w:val="008F708B"/>
    <w:rsid w:val="008F74F9"/>
    <w:rsid w:val="008F75B1"/>
    <w:rsid w:val="008F75EE"/>
    <w:rsid w:val="008F772A"/>
    <w:rsid w:val="00900B8E"/>
    <w:rsid w:val="00900DD5"/>
    <w:rsid w:val="0090171F"/>
    <w:rsid w:val="00901D78"/>
    <w:rsid w:val="00902EAE"/>
    <w:rsid w:val="00903512"/>
    <w:rsid w:val="009037B4"/>
    <w:rsid w:val="009038C5"/>
    <w:rsid w:val="00903D32"/>
    <w:rsid w:val="009040C8"/>
    <w:rsid w:val="009046A6"/>
    <w:rsid w:val="0090564D"/>
    <w:rsid w:val="00906000"/>
    <w:rsid w:val="009060B4"/>
    <w:rsid w:val="009063A0"/>
    <w:rsid w:val="00906565"/>
    <w:rsid w:val="009065EA"/>
    <w:rsid w:val="00906BDD"/>
    <w:rsid w:val="00906E30"/>
    <w:rsid w:val="0090771F"/>
    <w:rsid w:val="00907E70"/>
    <w:rsid w:val="00907EB9"/>
    <w:rsid w:val="0091045B"/>
    <w:rsid w:val="00910DB3"/>
    <w:rsid w:val="00911065"/>
    <w:rsid w:val="00911270"/>
    <w:rsid w:val="00911FCC"/>
    <w:rsid w:val="00912489"/>
    <w:rsid w:val="009124D1"/>
    <w:rsid w:val="00912A93"/>
    <w:rsid w:val="00912F6E"/>
    <w:rsid w:val="009133E6"/>
    <w:rsid w:val="00913A56"/>
    <w:rsid w:val="00913D38"/>
    <w:rsid w:val="009142D7"/>
    <w:rsid w:val="009143DE"/>
    <w:rsid w:val="00914502"/>
    <w:rsid w:val="00914DCF"/>
    <w:rsid w:val="00915502"/>
    <w:rsid w:val="00915E1D"/>
    <w:rsid w:val="00915F03"/>
    <w:rsid w:val="009163E8"/>
    <w:rsid w:val="00916570"/>
    <w:rsid w:val="009167A3"/>
    <w:rsid w:val="00916DBA"/>
    <w:rsid w:val="009171DA"/>
    <w:rsid w:val="00917364"/>
    <w:rsid w:val="00917504"/>
    <w:rsid w:val="009205AB"/>
    <w:rsid w:val="00920AD6"/>
    <w:rsid w:val="009211EF"/>
    <w:rsid w:val="00921276"/>
    <w:rsid w:val="00921FCC"/>
    <w:rsid w:val="0092214F"/>
    <w:rsid w:val="00922220"/>
    <w:rsid w:val="009225E1"/>
    <w:rsid w:val="00922612"/>
    <w:rsid w:val="00922730"/>
    <w:rsid w:val="00922BB1"/>
    <w:rsid w:val="00923516"/>
    <w:rsid w:val="00923579"/>
    <w:rsid w:val="0092429A"/>
    <w:rsid w:val="00924E28"/>
    <w:rsid w:val="0092512A"/>
    <w:rsid w:val="009253EF"/>
    <w:rsid w:val="00925E61"/>
    <w:rsid w:val="00926229"/>
    <w:rsid w:val="009262E2"/>
    <w:rsid w:val="0092637E"/>
    <w:rsid w:val="009263E9"/>
    <w:rsid w:val="009267DC"/>
    <w:rsid w:val="00926DC9"/>
    <w:rsid w:val="009270EF"/>
    <w:rsid w:val="009273AE"/>
    <w:rsid w:val="009275EE"/>
    <w:rsid w:val="00927611"/>
    <w:rsid w:val="0092784F"/>
    <w:rsid w:val="00927D6A"/>
    <w:rsid w:val="00930242"/>
    <w:rsid w:val="00930ACD"/>
    <w:rsid w:val="00931020"/>
    <w:rsid w:val="009312A0"/>
    <w:rsid w:val="00931986"/>
    <w:rsid w:val="00931F65"/>
    <w:rsid w:val="0093208A"/>
    <w:rsid w:val="009322D6"/>
    <w:rsid w:val="00932438"/>
    <w:rsid w:val="009327BA"/>
    <w:rsid w:val="00933531"/>
    <w:rsid w:val="00933649"/>
    <w:rsid w:val="009346AC"/>
    <w:rsid w:val="00934724"/>
    <w:rsid w:val="00934B38"/>
    <w:rsid w:val="00935256"/>
    <w:rsid w:val="009352B4"/>
    <w:rsid w:val="00935D42"/>
    <w:rsid w:val="00935D7A"/>
    <w:rsid w:val="0093617E"/>
    <w:rsid w:val="0093674C"/>
    <w:rsid w:val="00936A87"/>
    <w:rsid w:val="00936C3D"/>
    <w:rsid w:val="00937437"/>
    <w:rsid w:val="00937617"/>
    <w:rsid w:val="009378B1"/>
    <w:rsid w:val="009379DA"/>
    <w:rsid w:val="00940059"/>
    <w:rsid w:val="0094013C"/>
    <w:rsid w:val="009402B0"/>
    <w:rsid w:val="0094054B"/>
    <w:rsid w:val="0094089E"/>
    <w:rsid w:val="00940947"/>
    <w:rsid w:val="00940BD6"/>
    <w:rsid w:val="00940CF8"/>
    <w:rsid w:val="00940E7B"/>
    <w:rsid w:val="0094117E"/>
    <w:rsid w:val="0094179D"/>
    <w:rsid w:val="009420B4"/>
    <w:rsid w:val="009420C5"/>
    <w:rsid w:val="00942291"/>
    <w:rsid w:val="0094237A"/>
    <w:rsid w:val="0094253A"/>
    <w:rsid w:val="00942858"/>
    <w:rsid w:val="00942A60"/>
    <w:rsid w:val="00942B53"/>
    <w:rsid w:val="00942CEA"/>
    <w:rsid w:val="00942E70"/>
    <w:rsid w:val="0094347A"/>
    <w:rsid w:val="00943861"/>
    <w:rsid w:val="00943919"/>
    <w:rsid w:val="00943A32"/>
    <w:rsid w:val="00943E04"/>
    <w:rsid w:val="00943ECA"/>
    <w:rsid w:val="009440B5"/>
    <w:rsid w:val="00944247"/>
    <w:rsid w:val="00944265"/>
    <w:rsid w:val="009452E2"/>
    <w:rsid w:val="00945A97"/>
    <w:rsid w:val="00945DEC"/>
    <w:rsid w:val="009462A4"/>
    <w:rsid w:val="00946470"/>
    <w:rsid w:val="00946D45"/>
    <w:rsid w:val="00946EED"/>
    <w:rsid w:val="00946FFD"/>
    <w:rsid w:val="00947773"/>
    <w:rsid w:val="00947796"/>
    <w:rsid w:val="0094790C"/>
    <w:rsid w:val="00947CEB"/>
    <w:rsid w:val="00950FE0"/>
    <w:rsid w:val="0095161D"/>
    <w:rsid w:val="00952162"/>
    <w:rsid w:val="00952C0B"/>
    <w:rsid w:val="00952E3A"/>
    <w:rsid w:val="00953104"/>
    <w:rsid w:val="009534AA"/>
    <w:rsid w:val="00953D25"/>
    <w:rsid w:val="009541FF"/>
    <w:rsid w:val="009546A5"/>
    <w:rsid w:val="00954DC3"/>
    <w:rsid w:val="00954DD3"/>
    <w:rsid w:val="00955D39"/>
    <w:rsid w:val="00955E68"/>
    <w:rsid w:val="00956A44"/>
    <w:rsid w:val="00956ED9"/>
    <w:rsid w:val="0095751D"/>
    <w:rsid w:val="00957C0C"/>
    <w:rsid w:val="00957D6A"/>
    <w:rsid w:val="009602A8"/>
    <w:rsid w:val="0096044C"/>
    <w:rsid w:val="00960724"/>
    <w:rsid w:val="0096081B"/>
    <w:rsid w:val="00961E97"/>
    <w:rsid w:val="00962BF2"/>
    <w:rsid w:val="009630B9"/>
    <w:rsid w:val="009635B6"/>
    <w:rsid w:val="00964278"/>
    <w:rsid w:val="00964531"/>
    <w:rsid w:val="00964687"/>
    <w:rsid w:val="0096525B"/>
    <w:rsid w:val="00965488"/>
    <w:rsid w:val="00965491"/>
    <w:rsid w:val="00966650"/>
    <w:rsid w:val="009668CC"/>
    <w:rsid w:val="00966ACA"/>
    <w:rsid w:val="009673E0"/>
    <w:rsid w:val="009678B0"/>
    <w:rsid w:val="00967ED6"/>
    <w:rsid w:val="00970837"/>
    <w:rsid w:val="0097164C"/>
    <w:rsid w:val="00971654"/>
    <w:rsid w:val="009721D8"/>
    <w:rsid w:val="0097283F"/>
    <w:rsid w:val="0097300F"/>
    <w:rsid w:val="009732E4"/>
    <w:rsid w:val="009734B1"/>
    <w:rsid w:val="00973E05"/>
    <w:rsid w:val="00973F64"/>
    <w:rsid w:val="009740C9"/>
    <w:rsid w:val="0097427A"/>
    <w:rsid w:val="00974299"/>
    <w:rsid w:val="009743E6"/>
    <w:rsid w:val="009747C3"/>
    <w:rsid w:val="00974882"/>
    <w:rsid w:val="0097491D"/>
    <w:rsid w:val="0097509E"/>
    <w:rsid w:val="00975774"/>
    <w:rsid w:val="009758FF"/>
    <w:rsid w:val="00975ACE"/>
    <w:rsid w:val="00975CA8"/>
    <w:rsid w:val="00975EC9"/>
    <w:rsid w:val="00975F48"/>
    <w:rsid w:val="00975FCA"/>
    <w:rsid w:val="0097695A"/>
    <w:rsid w:val="00976AC7"/>
    <w:rsid w:val="009770AE"/>
    <w:rsid w:val="00977D78"/>
    <w:rsid w:val="00977F5F"/>
    <w:rsid w:val="009802AD"/>
    <w:rsid w:val="009803AB"/>
    <w:rsid w:val="0098066B"/>
    <w:rsid w:val="00980A6C"/>
    <w:rsid w:val="00980AF3"/>
    <w:rsid w:val="00980DEB"/>
    <w:rsid w:val="0098138F"/>
    <w:rsid w:val="00981558"/>
    <w:rsid w:val="00981679"/>
    <w:rsid w:val="009820BF"/>
    <w:rsid w:val="009822E4"/>
    <w:rsid w:val="0098236F"/>
    <w:rsid w:val="009823CE"/>
    <w:rsid w:val="00982F46"/>
    <w:rsid w:val="00983125"/>
    <w:rsid w:val="0098346A"/>
    <w:rsid w:val="00983D19"/>
    <w:rsid w:val="009846DC"/>
    <w:rsid w:val="00984BE0"/>
    <w:rsid w:val="00984EEB"/>
    <w:rsid w:val="00984FC8"/>
    <w:rsid w:val="009853C2"/>
    <w:rsid w:val="00985C6D"/>
    <w:rsid w:val="00985FC6"/>
    <w:rsid w:val="00986489"/>
    <w:rsid w:val="00986568"/>
    <w:rsid w:val="0098665B"/>
    <w:rsid w:val="00986C42"/>
    <w:rsid w:val="00986CDB"/>
    <w:rsid w:val="00987167"/>
    <w:rsid w:val="009873CB"/>
    <w:rsid w:val="00987408"/>
    <w:rsid w:val="0098759F"/>
    <w:rsid w:val="0098782A"/>
    <w:rsid w:val="00987931"/>
    <w:rsid w:val="009903E0"/>
    <w:rsid w:val="00990416"/>
    <w:rsid w:val="009904B1"/>
    <w:rsid w:val="009912D1"/>
    <w:rsid w:val="00991879"/>
    <w:rsid w:val="00991954"/>
    <w:rsid w:val="00991B86"/>
    <w:rsid w:val="00991FA6"/>
    <w:rsid w:val="009920B0"/>
    <w:rsid w:val="0099228F"/>
    <w:rsid w:val="00992C85"/>
    <w:rsid w:val="00993045"/>
    <w:rsid w:val="009935EC"/>
    <w:rsid w:val="0099381D"/>
    <w:rsid w:val="00993E05"/>
    <w:rsid w:val="00993E9F"/>
    <w:rsid w:val="009940BC"/>
    <w:rsid w:val="009946A9"/>
    <w:rsid w:val="00994DBF"/>
    <w:rsid w:val="00995B4D"/>
    <w:rsid w:val="00995DB0"/>
    <w:rsid w:val="009962C1"/>
    <w:rsid w:val="009965A9"/>
    <w:rsid w:val="0099672A"/>
    <w:rsid w:val="00996DD8"/>
    <w:rsid w:val="009974D3"/>
    <w:rsid w:val="009977A7"/>
    <w:rsid w:val="009977F8"/>
    <w:rsid w:val="00997C0F"/>
    <w:rsid w:val="00997DC7"/>
    <w:rsid w:val="009A01E7"/>
    <w:rsid w:val="009A05E5"/>
    <w:rsid w:val="009A09D5"/>
    <w:rsid w:val="009A0B94"/>
    <w:rsid w:val="009A0DE4"/>
    <w:rsid w:val="009A116A"/>
    <w:rsid w:val="009A1700"/>
    <w:rsid w:val="009A1771"/>
    <w:rsid w:val="009A1815"/>
    <w:rsid w:val="009A18F3"/>
    <w:rsid w:val="009A1994"/>
    <w:rsid w:val="009A1E13"/>
    <w:rsid w:val="009A22DA"/>
    <w:rsid w:val="009A27CE"/>
    <w:rsid w:val="009A2B05"/>
    <w:rsid w:val="009A2C1D"/>
    <w:rsid w:val="009A3251"/>
    <w:rsid w:val="009A33F7"/>
    <w:rsid w:val="009A3B85"/>
    <w:rsid w:val="009A57DC"/>
    <w:rsid w:val="009A582B"/>
    <w:rsid w:val="009A5A5B"/>
    <w:rsid w:val="009A5A85"/>
    <w:rsid w:val="009A5C30"/>
    <w:rsid w:val="009A63D9"/>
    <w:rsid w:val="009A6993"/>
    <w:rsid w:val="009A7D9C"/>
    <w:rsid w:val="009A7F3D"/>
    <w:rsid w:val="009B0BF3"/>
    <w:rsid w:val="009B0CA1"/>
    <w:rsid w:val="009B0EE5"/>
    <w:rsid w:val="009B1526"/>
    <w:rsid w:val="009B189F"/>
    <w:rsid w:val="009B1A93"/>
    <w:rsid w:val="009B2CDC"/>
    <w:rsid w:val="009B303B"/>
    <w:rsid w:val="009B3808"/>
    <w:rsid w:val="009B3B79"/>
    <w:rsid w:val="009B3E1F"/>
    <w:rsid w:val="009B40DD"/>
    <w:rsid w:val="009B4BA5"/>
    <w:rsid w:val="009B4CF4"/>
    <w:rsid w:val="009B4E2B"/>
    <w:rsid w:val="009B5260"/>
    <w:rsid w:val="009B5948"/>
    <w:rsid w:val="009B5F23"/>
    <w:rsid w:val="009B6093"/>
    <w:rsid w:val="009B60D0"/>
    <w:rsid w:val="009B66AC"/>
    <w:rsid w:val="009B6980"/>
    <w:rsid w:val="009B7B21"/>
    <w:rsid w:val="009B7B66"/>
    <w:rsid w:val="009B7C98"/>
    <w:rsid w:val="009B7E50"/>
    <w:rsid w:val="009B7FD1"/>
    <w:rsid w:val="009C03DA"/>
    <w:rsid w:val="009C109C"/>
    <w:rsid w:val="009C1D73"/>
    <w:rsid w:val="009C25F4"/>
    <w:rsid w:val="009C2A2D"/>
    <w:rsid w:val="009C2D89"/>
    <w:rsid w:val="009C3376"/>
    <w:rsid w:val="009C34C4"/>
    <w:rsid w:val="009C3DE7"/>
    <w:rsid w:val="009C4073"/>
    <w:rsid w:val="009C4994"/>
    <w:rsid w:val="009C5286"/>
    <w:rsid w:val="009C53BC"/>
    <w:rsid w:val="009C57E3"/>
    <w:rsid w:val="009C5C33"/>
    <w:rsid w:val="009C5CF7"/>
    <w:rsid w:val="009C5E22"/>
    <w:rsid w:val="009C60A4"/>
    <w:rsid w:val="009C611D"/>
    <w:rsid w:val="009C6295"/>
    <w:rsid w:val="009C62DC"/>
    <w:rsid w:val="009C63E8"/>
    <w:rsid w:val="009C640C"/>
    <w:rsid w:val="009C680D"/>
    <w:rsid w:val="009C6A13"/>
    <w:rsid w:val="009C6F28"/>
    <w:rsid w:val="009C712C"/>
    <w:rsid w:val="009D095E"/>
    <w:rsid w:val="009D0BA5"/>
    <w:rsid w:val="009D130C"/>
    <w:rsid w:val="009D13EB"/>
    <w:rsid w:val="009D14D3"/>
    <w:rsid w:val="009D1635"/>
    <w:rsid w:val="009D189A"/>
    <w:rsid w:val="009D1951"/>
    <w:rsid w:val="009D1DC6"/>
    <w:rsid w:val="009D1DF3"/>
    <w:rsid w:val="009D3090"/>
    <w:rsid w:val="009D388D"/>
    <w:rsid w:val="009D3B3F"/>
    <w:rsid w:val="009D3C12"/>
    <w:rsid w:val="009D3FC2"/>
    <w:rsid w:val="009D4F0D"/>
    <w:rsid w:val="009D54E3"/>
    <w:rsid w:val="009D59BA"/>
    <w:rsid w:val="009D5A7E"/>
    <w:rsid w:val="009D65A3"/>
    <w:rsid w:val="009D6D63"/>
    <w:rsid w:val="009D6DB2"/>
    <w:rsid w:val="009D7EB0"/>
    <w:rsid w:val="009E035D"/>
    <w:rsid w:val="009E0433"/>
    <w:rsid w:val="009E0486"/>
    <w:rsid w:val="009E0516"/>
    <w:rsid w:val="009E09DB"/>
    <w:rsid w:val="009E0B6E"/>
    <w:rsid w:val="009E0C64"/>
    <w:rsid w:val="009E14EA"/>
    <w:rsid w:val="009E166A"/>
    <w:rsid w:val="009E17F1"/>
    <w:rsid w:val="009E186B"/>
    <w:rsid w:val="009E1FD2"/>
    <w:rsid w:val="009E21F1"/>
    <w:rsid w:val="009E291B"/>
    <w:rsid w:val="009E2AFC"/>
    <w:rsid w:val="009E2F96"/>
    <w:rsid w:val="009E33A6"/>
    <w:rsid w:val="009E35A5"/>
    <w:rsid w:val="009E367D"/>
    <w:rsid w:val="009E3705"/>
    <w:rsid w:val="009E3B36"/>
    <w:rsid w:val="009E3B6D"/>
    <w:rsid w:val="009E3BD5"/>
    <w:rsid w:val="009E3D42"/>
    <w:rsid w:val="009E3EF6"/>
    <w:rsid w:val="009E424E"/>
    <w:rsid w:val="009E4B97"/>
    <w:rsid w:val="009E5589"/>
    <w:rsid w:val="009E570B"/>
    <w:rsid w:val="009E5BC7"/>
    <w:rsid w:val="009E610B"/>
    <w:rsid w:val="009E61A1"/>
    <w:rsid w:val="009E66DE"/>
    <w:rsid w:val="009E6777"/>
    <w:rsid w:val="009E6917"/>
    <w:rsid w:val="009E6FF3"/>
    <w:rsid w:val="009E70B3"/>
    <w:rsid w:val="009E715D"/>
    <w:rsid w:val="009E73E8"/>
    <w:rsid w:val="009E76C2"/>
    <w:rsid w:val="009E7AD4"/>
    <w:rsid w:val="009E7D2D"/>
    <w:rsid w:val="009E7F36"/>
    <w:rsid w:val="009F005A"/>
    <w:rsid w:val="009F0162"/>
    <w:rsid w:val="009F0619"/>
    <w:rsid w:val="009F06B6"/>
    <w:rsid w:val="009F0DC0"/>
    <w:rsid w:val="009F0E7A"/>
    <w:rsid w:val="009F188D"/>
    <w:rsid w:val="009F1A66"/>
    <w:rsid w:val="009F1C1F"/>
    <w:rsid w:val="009F1FCA"/>
    <w:rsid w:val="009F2165"/>
    <w:rsid w:val="009F29F1"/>
    <w:rsid w:val="009F2AA6"/>
    <w:rsid w:val="009F3396"/>
    <w:rsid w:val="009F389D"/>
    <w:rsid w:val="009F3DEB"/>
    <w:rsid w:val="009F3FA5"/>
    <w:rsid w:val="009F40CF"/>
    <w:rsid w:val="009F4621"/>
    <w:rsid w:val="009F4F8C"/>
    <w:rsid w:val="009F5976"/>
    <w:rsid w:val="009F5D38"/>
    <w:rsid w:val="009F5FA9"/>
    <w:rsid w:val="009F6C2D"/>
    <w:rsid w:val="009F6D66"/>
    <w:rsid w:val="009F6E27"/>
    <w:rsid w:val="009F7411"/>
    <w:rsid w:val="009F7451"/>
    <w:rsid w:val="009F7548"/>
    <w:rsid w:val="009F7AC8"/>
    <w:rsid w:val="009F7F6F"/>
    <w:rsid w:val="00A0011F"/>
    <w:rsid w:val="00A0094B"/>
    <w:rsid w:val="00A009CD"/>
    <w:rsid w:val="00A00DB3"/>
    <w:rsid w:val="00A00E19"/>
    <w:rsid w:val="00A00F69"/>
    <w:rsid w:val="00A01193"/>
    <w:rsid w:val="00A018DE"/>
    <w:rsid w:val="00A01C1F"/>
    <w:rsid w:val="00A02BD2"/>
    <w:rsid w:val="00A02E87"/>
    <w:rsid w:val="00A032B3"/>
    <w:rsid w:val="00A0423D"/>
    <w:rsid w:val="00A04741"/>
    <w:rsid w:val="00A047C2"/>
    <w:rsid w:val="00A04BF2"/>
    <w:rsid w:val="00A04CBA"/>
    <w:rsid w:val="00A051E5"/>
    <w:rsid w:val="00A05235"/>
    <w:rsid w:val="00A053BF"/>
    <w:rsid w:val="00A05906"/>
    <w:rsid w:val="00A05C22"/>
    <w:rsid w:val="00A065F1"/>
    <w:rsid w:val="00A0663A"/>
    <w:rsid w:val="00A0682F"/>
    <w:rsid w:val="00A06B19"/>
    <w:rsid w:val="00A06C22"/>
    <w:rsid w:val="00A0702B"/>
    <w:rsid w:val="00A07297"/>
    <w:rsid w:val="00A07C8D"/>
    <w:rsid w:val="00A106E1"/>
    <w:rsid w:val="00A10E37"/>
    <w:rsid w:val="00A10F2B"/>
    <w:rsid w:val="00A10F46"/>
    <w:rsid w:val="00A11227"/>
    <w:rsid w:val="00A115FB"/>
    <w:rsid w:val="00A115FF"/>
    <w:rsid w:val="00A1169F"/>
    <w:rsid w:val="00A11A73"/>
    <w:rsid w:val="00A11F2E"/>
    <w:rsid w:val="00A1290C"/>
    <w:rsid w:val="00A12B20"/>
    <w:rsid w:val="00A12BAA"/>
    <w:rsid w:val="00A134E1"/>
    <w:rsid w:val="00A1363E"/>
    <w:rsid w:val="00A13777"/>
    <w:rsid w:val="00A13BEA"/>
    <w:rsid w:val="00A142E8"/>
    <w:rsid w:val="00A14B48"/>
    <w:rsid w:val="00A15031"/>
    <w:rsid w:val="00A153AC"/>
    <w:rsid w:val="00A1569B"/>
    <w:rsid w:val="00A158AA"/>
    <w:rsid w:val="00A15BD2"/>
    <w:rsid w:val="00A15C3D"/>
    <w:rsid w:val="00A16115"/>
    <w:rsid w:val="00A1636D"/>
    <w:rsid w:val="00A163DB"/>
    <w:rsid w:val="00A16498"/>
    <w:rsid w:val="00A16913"/>
    <w:rsid w:val="00A1794C"/>
    <w:rsid w:val="00A17B65"/>
    <w:rsid w:val="00A205DD"/>
    <w:rsid w:val="00A20803"/>
    <w:rsid w:val="00A20991"/>
    <w:rsid w:val="00A20BBC"/>
    <w:rsid w:val="00A21BDD"/>
    <w:rsid w:val="00A21C95"/>
    <w:rsid w:val="00A21DC1"/>
    <w:rsid w:val="00A226AB"/>
    <w:rsid w:val="00A23705"/>
    <w:rsid w:val="00A23735"/>
    <w:rsid w:val="00A24310"/>
    <w:rsid w:val="00A246B9"/>
    <w:rsid w:val="00A24A1F"/>
    <w:rsid w:val="00A24D03"/>
    <w:rsid w:val="00A256DF"/>
    <w:rsid w:val="00A25A46"/>
    <w:rsid w:val="00A25A56"/>
    <w:rsid w:val="00A25BC5"/>
    <w:rsid w:val="00A2624B"/>
    <w:rsid w:val="00A268D1"/>
    <w:rsid w:val="00A26A4C"/>
    <w:rsid w:val="00A26C75"/>
    <w:rsid w:val="00A26EE5"/>
    <w:rsid w:val="00A26FF5"/>
    <w:rsid w:val="00A27455"/>
    <w:rsid w:val="00A2767D"/>
    <w:rsid w:val="00A277F3"/>
    <w:rsid w:val="00A279A8"/>
    <w:rsid w:val="00A27D9C"/>
    <w:rsid w:val="00A30298"/>
    <w:rsid w:val="00A30515"/>
    <w:rsid w:val="00A30554"/>
    <w:rsid w:val="00A305D0"/>
    <w:rsid w:val="00A30984"/>
    <w:rsid w:val="00A31444"/>
    <w:rsid w:val="00A31624"/>
    <w:rsid w:val="00A31ABA"/>
    <w:rsid w:val="00A31F12"/>
    <w:rsid w:val="00A31F40"/>
    <w:rsid w:val="00A3223F"/>
    <w:rsid w:val="00A32518"/>
    <w:rsid w:val="00A325D0"/>
    <w:rsid w:val="00A3264A"/>
    <w:rsid w:val="00A32A17"/>
    <w:rsid w:val="00A333C0"/>
    <w:rsid w:val="00A3364B"/>
    <w:rsid w:val="00A33A84"/>
    <w:rsid w:val="00A33FF1"/>
    <w:rsid w:val="00A340B8"/>
    <w:rsid w:val="00A34684"/>
    <w:rsid w:val="00A34758"/>
    <w:rsid w:val="00A34B73"/>
    <w:rsid w:val="00A34BB7"/>
    <w:rsid w:val="00A34E1D"/>
    <w:rsid w:val="00A352E7"/>
    <w:rsid w:val="00A359FC"/>
    <w:rsid w:val="00A368BC"/>
    <w:rsid w:val="00A3715A"/>
    <w:rsid w:val="00A37737"/>
    <w:rsid w:val="00A378D0"/>
    <w:rsid w:val="00A400D6"/>
    <w:rsid w:val="00A401C2"/>
    <w:rsid w:val="00A4074F"/>
    <w:rsid w:val="00A40A6E"/>
    <w:rsid w:val="00A40ADE"/>
    <w:rsid w:val="00A40B14"/>
    <w:rsid w:val="00A4102C"/>
    <w:rsid w:val="00A412C1"/>
    <w:rsid w:val="00A412CC"/>
    <w:rsid w:val="00A4150D"/>
    <w:rsid w:val="00A41C18"/>
    <w:rsid w:val="00A41C24"/>
    <w:rsid w:val="00A42759"/>
    <w:rsid w:val="00A4284E"/>
    <w:rsid w:val="00A428C3"/>
    <w:rsid w:val="00A42E1F"/>
    <w:rsid w:val="00A4323A"/>
    <w:rsid w:val="00A435EC"/>
    <w:rsid w:val="00A435F5"/>
    <w:rsid w:val="00A43A2B"/>
    <w:rsid w:val="00A43C4D"/>
    <w:rsid w:val="00A44306"/>
    <w:rsid w:val="00A444AF"/>
    <w:rsid w:val="00A444C9"/>
    <w:rsid w:val="00A4477D"/>
    <w:rsid w:val="00A44D01"/>
    <w:rsid w:val="00A44F77"/>
    <w:rsid w:val="00A450EB"/>
    <w:rsid w:val="00A4514F"/>
    <w:rsid w:val="00A452D7"/>
    <w:rsid w:val="00A45B47"/>
    <w:rsid w:val="00A46552"/>
    <w:rsid w:val="00A46580"/>
    <w:rsid w:val="00A46646"/>
    <w:rsid w:val="00A468D3"/>
    <w:rsid w:val="00A46BE8"/>
    <w:rsid w:val="00A4707E"/>
    <w:rsid w:val="00A472C5"/>
    <w:rsid w:val="00A472E6"/>
    <w:rsid w:val="00A475FA"/>
    <w:rsid w:val="00A476CF"/>
    <w:rsid w:val="00A47768"/>
    <w:rsid w:val="00A477B6"/>
    <w:rsid w:val="00A478EA"/>
    <w:rsid w:val="00A50270"/>
    <w:rsid w:val="00A50A06"/>
    <w:rsid w:val="00A51680"/>
    <w:rsid w:val="00A5173E"/>
    <w:rsid w:val="00A517CC"/>
    <w:rsid w:val="00A52388"/>
    <w:rsid w:val="00A5247A"/>
    <w:rsid w:val="00A525F5"/>
    <w:rsid w:val="00A52C26"/>
    <w:rsid w:val="00A52CA0"/>
    <w:rsid w:val="00A530EB"/>
    <w:rsid w:val="00A535F9"/>
    <w:rsid w:val="00A536FE"/>
    <w:rsid w:val="00A53898"/>
    <w:rsid w:val="00A53F49"/>
    <w:rsid w:val="00A53F5D"/>
    <w:rsid w:val="00A542A1"/>
    <w:rsid w:val="00A553A1"/>
    <w:rsid w:val="00A557F0"/>
    <w:rsid w:val="00A55D9D"/>
    <w:rsid w:val="00A55F1C"/>
    <w:rsid w:val="00A5614F"/>
    <w:rsid w:val="00A567F4"/>
    <w:rsid w:val="00A56896"/>
    <w:rsid w:val="00A5697C"/>
    <w:rsid w:val="00A5755C"/>
    <w:rsid w:val="00A57593"/>
    <w:rsid w:val="00A577C3"/>
    <w:rsid w:val="00A5784A"/>
    <w:rsid w:val="00A5799E"/>
    <w:rsid w:val="00A57C77"/>
    <w:rsid w:val="00A6005F"/>
    <w:rsid w:val="00A60D46"/>
    <w:rsid w:val="00A60FD5"/>
    <w:rsid w:val="00A612BA"/>
    <w:rsid w:val="00A613B9"/>
    <w:rsid w:val="00A6145F"/>
    <w:rsid w:val="00A6167E"/>
    <w:rsid w:val="00A61DAA"/>
    <w:rsid w:val="00A61F37"/>
    <w:rsid w:val="00A61F49"/>
    <w:rsid w:val="00A62138"/>
    <w:rsid w:val="00A62224"/>
    <w:rsid w:val="00A6234E"/>
    <w:rsid w:val="00A62439"/>
    <w:rsid w:val="00A62814"/>
    <w:rsid w:val="00A62B25"/>
    <w:rsid w:val="00A62D11"/>
    <w:rsid w:val="00A6328C"/>
    <w:rsid w:val="00A63A51"/>
    <w:rsid w:val="00A6441F"/>
    <w:rsid w:val="00A645A6"/>
    <w:rsid w:val="00A6490E"/>
    <w:rsid w:val="00A652FC"/>
    <w:rsid w:val="00A65719"/>
    <w:rsid w:val="00A65A9A"/>
    <w:rsid w:val="00A660EA"/>
    <w:rsid w:val="00A66EE8"/>
    <w:rsid w:val="00A66FA5"/>
    <w:rsid w:val="00A66FE4"/>
    <w:rsid w:val="00A6770C"/>
    <w:rsid w:val="00A704E1"/>
    <w:rsid w:val="00A70B64"/>
    <w:rsid w:val="00A70C93"/>
    <w:rsid w:val="00A70D8D"/>
    <w:rsid w:val="00A70F09"/>
    <w:rsid w:val="00A7111A"/>
    <w:rsid w:val="00A726C6"/>
    <w:rsid w:val="00A72930"/>
    <w:rsid w:val="00A7296B"/>
    <w:rsid w:val="00A7305B"/>
    <w:rsid w:val="00A73418"/>
    <w:rsid w:val="00A73CD0"/>
    <w:rsid w:val="00A73F44"/>
    <w:rsid w:val="00A74343"/>
    <w:rsid w:val="00A74960"/>
    <w:rsid w:val="00A74B1A"/>
    <w:rsid w:val="00A7512D"/>
    <w:rsid w:val="00A751C6"/>
    <w:rsid w:val="00A756B0"/>
    <w:rsid w:val="00A757D5"/>
    <w:rsid w:val="00A75A69"/>
    <w:rsid w:val="00A75FF8"/>
    <w:rsid w:val="00A76036"/>
    <w:rsid w:val="00A764C3"/>
    <w:rsid w:val="00A76B8B"/>
    <w:rsid w:val="00A776DE"/>
    <w:rsid w:val="00A7779A"/>
    <w:rsid w:val="00A7797D"/>
    <w:rsid w:val="00A80CCE"/>
    <w:rsid w:val="00A80E75"/>
    <w:rsid w:val="00A81ECA"/>
    <w:rsid w:val="00A82380"/>
    <w:rsid w:val="00A830D4"/>
    <w:rsid w:val="00A831CB"/>
    <w:rsid w:val="00A83529"/>
    <w:rsid w:val="00A8468B"/>
    <w:rsid w:val="00A84827"/>
    <w:rsid w:val="00A855B9"/>
    <w:rsid w:val="00A85AE8"/>
    <w:rsid w:val="00A85C2D"/>
    <w:rsid w:val="00A85CDE"/>
    <w:rsid w:val="00A8612D"/>
    <w:rsid w:val="00A862AE"/>
    <w:rsid w:val="00A868CE"/>
    <w:rsid w:val="00A86A24"/>
    <w:rsid w:val="00A86AE4"/>
    <w:rsid w:val="00A86DB4"/>
    <w:rsid w:val="00A87152"/>
    <w:rsid w:val="00A874DD"/>
    <w:rsid w:val="00A87CE0"/>
    <w:rsid w:val="00A87DF0"/>
    <w:rsid w:val="00A87F2B"/>
    <w:rsid w:val="00A905CB"/>
    <w:rsid w:val="00A90EE6"/>
    <w:rsid w:val="00A91531"/>
    <w:rsid w:val="00A91913"/>
    <w:rsid w:val="00A92E34"/>
    <w:rsid w:val="00A92EEA"/>
    <w:rsid w:val="00A93124"/>
    <w:rsid w:val="00A9383D"/>
    <w:rsid w:val="00A939DA"/>
    <w:rsid w:val="00A94240"/>
    <w:rsid w:val="00A94477"/>
    <w:rsid w:val="00A94729"/>
    <w:rsid w:val="00A94865"/>
    <w:rsid w:val="00A948AC"/>
    <w:rsid w:val="00A955ED"/>
    <w:rsid w:val="00A9588A"/>
    <w:rsid w:val="00A9595B"/>
    <w:rsid w:val="00A966AD"/>
    <w:rsid w:val="00A96924"/>
    <w:rsid w:val="00A96DA8"/>
    <w:rsid w:val="00A96E69"/>
    <w:rsid w:val="00A96FDE"/>
    <w:rsid w:val="00A97393"/>
    <w:rsid w:val="00A976DF"/>
    <w:rsid w:val="00A97776"/>
    <w:rsid w:val="00A97BD8"/>
    <w:rsid w:val="00A97F2C"/>
    <w:rsid w:val="00AA0CB5"/>
    <w:rsid w:val="00AA0D15"/>
    <w:rsid w:val="00AA0F2A"/>
    <w:rsid w:val="00AA14A1"/>
    <w:rsid w:val="00AA1E1C"/>
    <w:rsid w:val="00AA2262"/>
    <w:rsid w:val="00AA258D"/>
    <w:rsid w:val="00AA2654"/>
    <w:rsid w:val="00AA283B"/>
    <w:rsid w:val="00AA2E56"/>
    <w:rsid w:val="00AA2EF3"/>
    <w:rsid w:val="00AA3928"/>
    <w:rsid w:val="00AA39E0"/>
    <w:rsid w:val="00AA4D75"/>
    <w:rsid w:val="00AA50C1"/>
    <w:rsid w:val="00AA5301"/>
    <w:rsid w:val="00AA5606"/>
    <w:rsid w:val="00AA5ED3"/>
    <w:rsid w:val="00AA61FD"/>
    <w:rsid w:val="00AA6624"/>
    <w:rsid w:val="00AA668B"/>
    <w:rsid w:val="00AA6E48"/>
    <w:rsid w:val="00AA7B96"/>
    <w:rsid w:val="00AB0516"/>
    <w:rsid w:val="00AB0786"/>
    <w:rsid w:val="00AB0A72"/>
    <w:rsid w:val="00AB0AAE"/>
    <w:rsid w:val="00AB0C43"/>
    <w:rsid w:val="00AB1221"/>
    <w:rsid w:val="00AB1D10"/>
    <w:rsid w:val="00AB28C6"/>
    <w:rsid w:val="00AB2BAA"/>
    <w:rsid w:val="00AB2C8E"/>
    <w:rsid w:val="00AB34C2"/>
    <w:rsid w:val="00AB41ED"/>
    <w:rsid w:val="00AB428F"/>
    <w:rsid w:val="00AB491D"/>
    <w:rsid w:val="00AB4D67"/>
    <w:rsid w:val="00AB528F"/>
    <w:rsid w:val="00AB55D7"/>
    <w:rsid w:val="00AB5660"/>
    <w:rsid w:val="00AB5684"/>
    <w:rsid w:val="00AB5776"/>
    <w:rsid w:val="00AB58D9"/>
    <w:rsid w:val="00AB5D86"/>
    <w:rsid w:val="00AB5DE8"/>
    <w:rsid w:val="00AB611E"/>
    <w:rsid w:val="00AB61EC"/>
    <w:rsid w:val="00AB692C"/>
    <w:rsid w:val="00AB6930"/>
    <w:rsid w:val="00AB6A5D"/>
    <w:rsid w:val="00AB6B7E"/>
    <w:rsid w:val="00AB71D5"/>
    <w:rsid w:val="00AB7213"/>
    <w:rsid w:val="00AB732B"/>
    <w:rsid w:val="00AB7B41"/>
    <w:rsid w:val="00AB7D10"/>
    <w:rsid w:val="00AC0016"/>
    <w:rsid w:val="00AC005E"/>
    <w:rsid w:val="00AC045F"/>
    <w:rsid w:val="00AC0550"/>
    <w:rsid w:val="00AC0865"/>
    <w:rsid w:val="00AC0BC8"/>
    <w:rsid w:val="00AC0E87"/>
    <w:rsid w:val="00AC1077"/>
    <w:rsid w:val="00AC16F1"/>
    <w:rsid w:val="00AC1770"/>
    <w:rsid w:val="00AC1C00"/>
    <w:rsid w:val="00AC2352"/>
    <w:rsid w:val="00AC30D9"/>
    <w:rsid w:val="00AC34D1"/>
    <w:rsid w:val="00AC3878"/>
    <w:rsid w:val="00AC3921"/>
    <w:rsid w:val="00AC39D9"/>
    <w:rsid w:val="00AC3AC3"/>
    <w:rsid w:val="00AC3AD8"/>
    <w:rsid w:val="00AC3BC3"/>
    <w:rsid w:val="00AC3C75"/>
    <w:rsid w:val="00AC3EBE"/>
    <w:rsid w:val="00AC418B"/>
    <w:rsid w:val="00AC428C"/>
    <w:rsid w:val="00AC429F"/>
    <w:rsid w:val="00AC4472"/>
    <w:rsid w:val="00AC4BF2"/>
    <w:rsid w:val="00AC4F83"/>
    <w:rsid w:val="00AC5834"/>
    <w:rsid w:val="00AC5864"/>
    <w:rsid w:val="00AC6A56"/>
    <w:rsid w:val="00AC7496"/>
    <w:rsid w:val="00AC7CFB"/>
    <w:rsid w:val="00AD0E4D"/>
    <w:rsid w:val="00AD0E72"/>
    <w:rsid w:val="00AD0F8D"/>
    <w:rsid w:val="00AD104B"/>
    <w:rsid w:val="00AD120E"/>
    <w:rsid w:val="00AD1CD5"/>
    <w:rsid w:val="00AD253F"/>
    <w:rsid w:val="00AD30CD"/>
    <w:rsid w:val="00AD33F6"/>
    <w:rsid w:val="00AD36E6"/>
    <w:rsid w:val="00AD395B"/>
    <w:rsid w:val="00AD3D95"/>
    <w:rsid w:val="00AD41B2"/>
    <w:rsid w:val="00AD4EF8"/>
    <w:rsid w:val="00AD518E"/>
    <w:rsid w:val="00AD58AA"/>
    <w:rsid w:val="00AD5B2A"/>
    <w:rsid w:val="00AD5FF9"/>
    <w:rsid w:val="00AD6511"/>
    <w:rsid w:val="00AD686A"/>
    <w:rsid w:val="00AD6E50"/>
    <w:rsid w:val="00AD75EB"/>
    <w:rsid w:val="00AD777C"/>
    <w:rsid w:val="00AD77E8"/>
    <w:rsid w:val="00AE012B"/>
    <w:rsid w:val="00AE0409"/>
    <w:rsid w:val="00AE04BA"/>
    <w:rsid w:val="00AE0DD7"/>
    <w:rsid w:val="00AE1399"/>
    <w:rsid w:val="00AE18BD"/>
    <w:rsid w:val="00AE1957"/>
    <w:rsid w:val="00AE1EFE"/>
    <w:rsid w:val="00AE2098"/>
    <w:rsid w:val="00AE28B2"/>
    <w:rsid w:val="00AE36AE"/>
    <w:rsid w:val="00AE3892"/>
    <w:rsid w:val="00AE3C98"/>
    <w:rsid w:val="00AE4D39"/>
    <w:rsid w:val="00AE4E18"/>
    <w:rsid w:val="00AE4EFA"/>
    <w:rsid w:val="00AE54C3"/>
    <w:rsid w:val="00AE5D76"/>
    <w:rsid w:val="00AE63C4"/>
    <w:rsid w:val="00AE66AC"/>
    <w:rsid w:val="00AE66FF"/>
    <w:rsid w:val="00AE70A2"/>
    <w:rsid w:val="00AE717F"/>
    <w:rsid w:val="00AE7A21"/>
    <w:rsid w:val="00AF1642"/>
    <w:rsid w:val="00AF24D6"/>
    <w:rsid w:val="00AF2532"/>
    <w:rsid w:val="00AF271D"/>
    <w:rsid w:val="00AF2B56"/>
    <w:rsid w:val="00AF3759"/>
    <w:rsid w:val="00AF3D04"/>
    <w:rsid w:val="00AF45E5"/>
    <w:rsid w:val="00AF47EC"/>
    <w:rsid w:val="00AF4BFA"/>
    <w:rsid w:val="00AF4D78"/>
    <w:rsid w:val="00AF4EC9"/>
    <w:rsid w:val="00AF50CE"/>
    <w:rsid w:val="00AF5FE5"/>
    <w:rsid w:val="00AF6562"/>
    <w:rsid w:val="00AF6835"/>
    <w:rsid w:val="00AF6954"/>
    <w:rsid w:val="00AF6F58"/>
    <w:rsid w:val="00AF7284"/>
    <w:rsid w:val="00AF749C"/>
    <w:rsid w:val="00AF78A1"/>
    <w:rsid w:val="00AF7993"/>
    <w:rsid w:val="00AF7CC4"/>
    <w:rsid w:val="00AF7E7C"/>
    <w:rsid w:val="00B00225"/>
    <w:rsid w:val="00B008A5"/>
    <w:rsid w:val="00B00E55"/>
    <w:rsid w:val="00B0136E"/>
    <w:rsid w:val="00B016F8"/>
    <w:rsid w:val="00B017DB"/>
    <w:rsid w:val="00B0199A"/>
    <w:rsid w:val="00B019FC"/>
    <w:rsid w:val="00B01E6D"/>
    <w:rsid w:val="00B021A6"/>
    <w:rsid w:val="00B0254C"/>
    <w:rsid w:val="00B02A12"/>
    <w:rsid w:val="00B02E6C"/>
    <w:rsid w:val="00B03461"/>
    <w:rsid w:val="00B03942"/>
    <w:rsid w:val="00B04186"/>
    <w:rsid w:val="00B05525"/>
    <w:rsid w:val="00B057C8"/>
    <w:rsid w:val="00B05E88"/>
    <w:rsid w:val="00B0671E"/>
    <w:rsid w:val="00B068AD"/>
    <w:rsid w:val="00B06C7A"/>
    <w:rsid w:val="00B06F96"/>
    <w:rsid w:val="00B07271"/>
    <w:rsid w:val="00B07722"/>
    <w:rsid w:val="00B0786D"/>
    <w:rsid w:val="00B07A19"/>
    <w:rsid w:val="00B07DC8"/>
    <w:rsid w:val="00B10201"/>
    <w:rsid w:val="00B105C9"/>
    <w:rsid w:val="00B105E7"/>
    <w:rsid w:val="00B108EC"/>
    <w:rsid w:val="00B1091A"/>
    <w:rsid w:val="00B10F7A"/>
    <w:rsid w:val="00B1127B"/>
    <w:rsid w:val="00B11BCB"/>
    <w:rsid w:val="00B11D69"/>
    <w:rsid w:val="00B11E57"/>
    <w:rsid w:val="00B11E74"/>
    <w:rsid w:val="00B120FB"/>
    <w:rsid w:val="00B12226"/>
    <w:rsid w:val="00B12275"/>
    <w:rsid w:val="00B1256A"/>
    <w:rsid w:val="00B12DBE"/>
    <w:rsid w:val="00B130FD"/>
    <w:rsid w:val="00B132F5"/>
    <w:rsid w:val="00B13334"/>
    <w:rsid w:val="00B14042"/>
    <w:rsid w:val="00B14263"/>
    <w:rsid w:val="00B14887"/>
    <w:rsid w:val="00B151C1"/>
    <w:rsid w:val="00B16257"/>
    <w:rsid w:val="00B163ED"/>
    <w:rsid w:val="00B164B5"/>
    <w:rsid w:val="00B165BE"/>
    <w:rsid w:val="00B167D1"/>
    <w:rsid w:val="00B16C7E"/>
    <w:rsid w:val="00B17DE4"/>
    <w:rsid w:val="00B209F9"/>
    <w:rsid w:val="00B20A8E"/>
    <w:rsid w:val="00B21A29"/>
    <w:rsid w:val="00B21EBD"/>
    <w:rsid w:val="00B225E4"/>
    <w:rsid w:val="00B2293E"/>
    <w:rsid w:val="00B22D4C"/>
    <w:rsid w:val="00B22F90"/>
    <w:rsid w:val="00B23640"/>
    <w:rsid w:val="00B238ED"/>
    <w:rsid w:val="00B239EE"/>
    <w:rsid w:val="00B23C79"/>
    <w:rsid w:val="00B23F93"/>
    <w:rsid w:val="00B241B6"/>
    <w:rsid w:val="00B2496B"/>
    <w:rsid w:val="00B255C5"/>
    <w:rsid w:val="00B258F6"/>
    <w:rsid w:val="00B25BF6"/>
    <w:rsid w:val="00B25F5F"/>
    <w:rsid w:val="00B26067"/>
    <w:rsid w:val="00B260AA"/>
    <w:rsid w:val="00B261A7"/>
    <w:rsid w:val="00B261D9"/>
    <w:rsid w:val="00B26801"/>
    <w:rsid w:val="00B26848"/>
    <w:rsid w:val="00B2685B"/>
    <w:rsid w:val="00B268C6"/>
    <w:rsid w:val="00B268EB"/>
    <w:rsid w:val="00B26AFA"/>
    <w:rsid w:val="00B26D1D"/>
    <w:rsid w:val="00B26DE0"/>
    <w:rsid w:val="00B27454"/>
    <w:rsid w:val="00B27658"/>
    <w:rsid w:val="00B30234"/>
    <w:rsid w:val="00B30B49"/>
    <w:rsid w:val="00B30BC3"/>
    <w:rsid w:val="00B31797"/>
    <w:rsid w:val="00B31E33"/>
    <w:rsid w:val="00B329B7"/>
    <w:rsid w:val="00B32E20"/>
    <w:rsid w:val="00B3356B"/>
    <w:rsid w:val="00B335F9"/>
    <w:rsid w:val="00B337D4"/>
    <w:rsid w:val="00B33AF2"/>
    <w:rsid w:val="00B346B9"/>
    <w:rsid w:val="00B34864"/>
    <w:rsid w:val="00B34A65"/>
    <w:rsid w:val="00B34C45"/>
    <w:rsid w:val="00B353D1"/>
    <w:rsid w:val="00B35A1E"/>
    <w:rsid w:val="00B35A2F"/>
    <w:rsid w:val="00B3609A"/>
    <w:rsid w:val="00B36176"/>
    <w:rsid w:val="00B362B6"/>
    <w:rsid w:val="00B36649"/>
    <w:rsid w:val="00B36A0D"/>
    <w:rsid w:val="00B36B95"/>
    <w:rsid w:val="00B36DE9"/>
    <w:rsid w:val="00B37364"/>
    <w:rsid w:val="00B37A04"/>
    <w:rsid w:val="00B4050D"/>
    <w:rsid w:val="00B406D4"/>
    <w:rsid w:val="00B42458"/>
    <w:rsid w:val="00B425BD"/>
    <w:rsid w:val="00B428E0"/>
    <w:rsid w:val="00B42A6F"/>
    <w:rsid w:val="00B42CF8"/>
    <w:rsid w:val="00B43381"/>
    <w:rsid w:val="00B436BD"/>
    <w:rsid w:val="00B438F2"/>
    <w:rsid w:val="00B43DAC"/>
    <w:rsid w:val="00B43DD7"/>
    <w:rsid w:val="00B43E2D"/>
    <w:rsid w:val="00B43F29"/>
    <w:rsid w:val="00B43F57"/>
    <w:rsid w:val="00B44CE2"/>
    <w:rsid w:val="00B44DD0"/>
    <w:rsid w:val="00B451B8"/>
    <w:rsid w:val="00B454D6"/>
    <w:rsid w:val="00B4554E"/>
    <w:rsid w:val="00B4582F"/>
    <w:rsid w:val="00B459DF"/>
    <w:rsid w:val="00B45D7C"/>
    <w:rsid w:val="00B46B84"/>
    <w:rsid w:val="00B46BD0"/>
    <w:rsid w:val="00B47260"/>
    <w:rsid w:val="00B4746C"/>
    <w:rsid w:val="00B47692"/>
    <w:rsid w:val="00B502EE"/>
    <w:rsid w:val="00B506A5"/>
    <w:rsid w:val="00B51D6E"/>
    <w:rsid w:val="00B521FC"/>
    <w:rsid w:val="00B52442"/>
    <w:rsid w:val="00B52582"/>
    <w:rsid w:val="00B526D6"/>
    <w:rsid w:val="00B52A03"/>
    <w:rsid w:val="00B53A6B"/>
    <w:rsid w:val="00B53C05"/>
    <w:rsid w:val="00B53E08"/>
    <w:rsid w:val="00B54340"/>
    <w:rsid w:val="00B547B9"/>
    <w:rsid w:val="00B54F73"/>
    <w:rsid w:val="00B5562E"/>
    <w:rsid w:val="00B556C9"/>
    <w:rsid w:val="00B558A0"/>
    <w:rsid w:val="00B56060"/>
    <w:rsid w:val="00B562C6"/>
    <w:rsid w:val="00B56454"/>
    <w:rsid w:val="00B565E0"/>
    <w:rsid w:val="00B56816"/>
    <w:rsid w:val="00B5717A"/>
    <w:rsid w:val="00B5725B"/>
    <w:rsid w:val="00B57641"/>
    <w:rsid w:val="00B57EEB"/>
    <w:rsid w:val="00B6059A"/>
    <w:rsid w:val="00B607D3"/>
    <w:rsid w:val="00B60FA1"/>
    <w:rsid w:val="00B612EE"/>
    <w:rsid w:val="00B614EA"/>
    <w:rsid w:val="00B616E4"/>
    <w:rsid w:val="00B61EF2"/>
    <w:rsid w:val="00B61FCD"/>
    <w:rsid w:val="00B621AE"/>
    <w:rsid w:val="00B62366"/>
    <w:rsid w:val="00B623D9"/>
    <w:rsid w:val="00B6251E"/>
    <w:rsid w:val="00B628F5"/>
    <w:rsid w:val="00B6292E"/>
    <w:rsid w:val="00B62F88"/>
    <w:rsid w:val="00B62FF7"/>
    <w:rsid w:val="00B631F4"/>
    <w:rsid w:val="00B6347C"/>
    <w:rsid w:val="00B634FB"/>
    <w:rsid w:val="00B63B21"/>
    <w:rsid w:val="00B63C77"/>
    <w:rsid w:val="00B64542"/>
    <w:rsid w:val="00B6483F"/>
    <w:rsid w:val="00B64DBC"/>
    <w:rsid w:val="00B65CF9"/>
    <w:rsid w:val="00B65E8A"/>
    <w:rsid w:val="00B662E3"/>
    <w:rsid w:val="00B67989"/>
    <w:rsid w:val="00B67B0C"/>
    <w:rsid w:val="00B701BD"/>
    <w:rsid w:val="00B70356"/>
    <w:rsid w:val="00B705E2"/>
    <w:rsid w:val="00B706C0"/>
    <w:rsid w:val="00B70854"/>
    <w:rsid w:val="00B70E95"/>
    <w:rsid w:val="00B70FF7"/>
    <w:rsid w:val="00B711C9"/>
    <w:rsid w:val="00B71282"/>
    <w:rsid w:val="00B71752"/>
    <w:rsid w:val="00B71D16"/>
    <w:rsid w:val="00B721FB"/>
    <w:rsid w:val="00B7231B"/>
    <w:rsid w:val="00B72ECC"/>
    <w:rsid w:val="00B730A8"/>
    <w:rsid w:val="00B730AE"/>
    <w:rsid w:val="00B7393A"/>
    <w:rsid w:val="00B73B84"/>
    <w:rsid w:val="00B73D31"/>
    <w:rsid w:val="00B741FA"/>
    <w:rsid w:val="00B742C8"/>
    <w:rsid w:val="00B74474"/>
    <w:rsid w:val="00B745AC"/>
    <w:rsid w:val="00B7468F"/>
    <w:rsid w:val="00B7475E"/>
    <w:rsid w:val="00B74A7F"/>
    <w:rsid w:val="00B74D28"/>
    <w:rsid w:val="00B74FC5"/>
    <w:rsid w:val="00B75209"/>
    <w:rsid w:val="00B75696"/>
    <w:rsid w:val="00B7642F"/>
    <w:rsid w:val="00B76656"/>
    <w:rsid w:val="00B7691E"/>
    <w:rsid w:val="00B76AD3"/>
    <w:rsid w:val="00B77D03"/>
    <w:rsid w:val="00B803DE"/>
    <w:rsid w:val="00B805FB"/>
    <w:rsid w:val="00B809C0"/>
    <w:rsid w:val="00B80F8E"/>
    <w:rsid w:val="00B8122E"/>
    <w:rsid w:val="00B8184F"/>
    <w:rsid w:val="00B8187E"/>
    <w:rsid w:val="00B818BF"/>
    <w:rsid w:val="00B81AA0"/>
    <w:rsid w:val="00B81B1B"/>
    <w:rsid w:val="00B81E96"/>
    <w:rsid w:val="00B82890"/>
    <w:rsid w:val="00B82CA4"/>
    <w:rsid w:val="00B833B6"/>
    <w:rsid w:val="00B83C15"/>
    <w:rsid w:val="00B83D69"/>
    <w:rsid w:val="00B8400B"/>
    <w:rsid w:val="00B842EA"/>
    <w:rsid w:val="00B84617"/>
    <w:rsid w:val="00B84D02"/>
    <w:rsid w:val="00B84E5A"/>
    <w:rsid w:val="00B8547E"/>
    <w:rsid w:val="00B86258"/>
    <w:rsid w:val="00B8645D"/>
    <w:rsid w:val="00B867C5"/>
    <w:rsid w:val="00B86DC7"/>
    <w:rsid w:val="00B86E8B"/>
    <w:rsid w:val="00B87641"/>
    <w:rsid w:val="00B879A8"/>
    <w:rsid w:val="00B87B48"/>
    <w:rsid w:val="00B87C81"/>
    <w:rsid w:val="00B90A24"/>
    <w:rsid w:val="00B90DCD"/>
    <w:rsid w:val="00B916EB"/>
    <w:rsid w:val="00B91992"/>
    <w:rsid w:val="00B9268A"/>
    <w:rsid w:val="00B92698"/>
    <w:rsid w:val="00B93385"/>
    <w:rsid w:val="00B93515"/>
    <w:rsid w:val="00B9380E"/>
    <w:rsid w:val="00B93823"/>
    <w:rsid w:val="00B93AFD"/>
    <w:rsid w:val="00B93BFD"/>
    <w:rsid w:val="00B94CE5"/>
    <w:rsid w:val="00B95838"/>
    <w:rsid w:val="00B95B35"/>
    <w:rsid w:val="00B960D4"/>
    <w:rsid w:val="00B9626F"/>
    <w:rsid w:val="00B9643C"/>
    <w:rsid w:val="00B96479"/>
    <w:rsid w:val="00B971D9"/>
    <w:rsid w:val="00B97399"/>
    <w:rsid w:val="00B97D8E"/>
    <w:rsid w:val="00B97E95"/>
    <w:rsid w:val="00BA0447"/>
    <w:rsid w:val="00BA0F0C"/>
    <w:rsid w:val="00BA10C9"/>
    <w:rsid w:val="00BA13CB"/>
    <w:rsid w:val="00BA1419"/>
    <w:rsid w:val="00BA155A"/>
    <w:rsid w:val="00BA1920"/>
    <w:rsid w:val="00BA1B6A"/>
    <w:rsid w:val="00BA1BF3"/>
    <w:rsid w:val="00BA1C29"/>
    <w:rsid w:val="00BA2BBB"/>
    <w:rsid w:val="00BA2ED5"/>
    <w:rsid w:val="00BA32CB"/>
    <w:rsid w:val="00BA34E7"/>
    <w:rsid w:val="00BA3CC4"/>
    <w:rsid w:val="00BA420F"/>
    <w:rsid w:val="00BA45A4"/>
    <w:rsid w:val="00BA468E"/>
    <w:rsid w:val="00BA54C2"/>
    <w:rsid w:val="00BA55AC"/>
    <w:rsid w:val="00BA56BB"/>
    <w:rsid w:val="00BA58C4"/>
    <w:rsid w:val="00BA5F56"/>
    <w:rsid w:val="00BA6588"/>
    <w:rsid w:val="00BA6832"/>
    <w:rsid w:val="00BA6AFD"/>
    <w:rsid w:val="00BA7197"/>
    <w:rsid w:val="00BA71F5"/>
    <w:rsid w:val="00BA74FA"/>
    <w:rsid w:val="00BA7530"/>
    <w:rsid w:val="00BB00C6"/>
    <w:rsid w:val="00BB02C0"/>
    <w:rsid w:val="00BB02C2"/>
    <w:rsid w:val="00BB037B"/>
    <w:rsid w:val="00BB045E"/>
    <w:rsid w:val="00BB0989"/>
    <w:rsid w:val="00BB0CBC"/>
    <w:rsid w:val="00BB0E00"/>
    <w:rsid w:val="00BB274B"/>
    <w:rsid w:val="00BB306B"/>
    <w:rsid w:val="00BB3333"/>
    <w:rsid w:val="00BB36F3"/>
    <w:rsid w:val="00BB3C8D"/>
    <w:rsid w:val="00BB3C9A"/>
    <w:rsid w:val="00BB45FD"/>
    <w:rsid w:val="00BB4A0B"/>
    <w:rsid w:val="00BB5055"/>
    <w:rsid w:val="00BB520E"/>
    <w:rsid w:val="00BB53EE"/>
    <w:rsid w:val="00BB55BB"/>
    <w:rsid w:val="00BB5E58"/>
    <w:rsid w:val="00BB60E2"/>
    <w:rsid w:val="00BB6765"/>
    <w:rsid w:val="00BB6AB6"/>
    <w:rsid w:val="00BB6BE5"/>
    <w:rsid w:val="00BB6DD3"/>
    <w:rsid w:val="00BB717C"/>
    <w:rsid w:val="00BB76E9"/>
    <w:rsid w:val="00BB7735"/>
    <w:rsid w:val="00BB77CB"/>
    <w:rsid w:val="00BB7A70"/>
    <w:rsid w:val="00BB7BD8"/>
    <w:rsid w:val="00BB7C03"/>
    <w:rsid w:val="00BC1C44"/>
    <w:rsid w:val="00BC1ED4"/>
    <w:rsid w:val="00BC214A"/>
    <w:rsid w:val="00BC23C3"/>
    <w:rsid w:val="00BC2601"/>
    <w:rsid w:val="00BC26A8"/>
    <w:rsid w:val="00BC2B2A"/>
    <w:rsid w:val="00BC2E4A"/>
    <w:rsid w:val="00BC3534"/>
    <w:rsid w:val="00BC3702"/>
    <w:rsid w:val="00BC38DB"/>
    <w:rsid w:val="00BC3B87"/>
    <w:rsid w:val="00BC3F1E"/>
    <w:rsid w:val="00BC421A"/>
    <w:rsid w:val="00BC4FB6"/>
    <w:rsid w:val="00BC5352"/>
    <w:rsid w:val="00BC53FF"/>
    <w:rsid w:val="00BC65A1"/>
    <w:rsid w:val="00BC79BF"/>
    <w:rsid w:val="00BC7C5A"/>
    <w:rsid w:val="00BD010A"/>
    <w:rsid w:val="00BD04AE"/>
    <w:rsid w:val="00BD0751"/>
    <w:rsid w:val="00BD0867"/>
    <w:rsid w:val="00BD0E57"/>
    <w:rsid w:val="00BD1772"/>
    <w:rsid w:val="00BD17C6"/>
    <w:rsid w:val="00BD1B46"/>
    <w:rsid w:val="00BD21F1"/>
    <w:rsid w:val="00BD276D"/>
    <w:rsid w:val="00BD284E"/>
    <w:rsid w:val="00BD2C53"/>
    <w:rsid w:val="00BD3418"/>
    <w:rsid w:val="00BD38FF"/>
    <w:rsid w:val="00BD39D4"/>
    <w:rsid w:val="00BD4DD8"/>
    <w:rsid w:val="00BD56DF"/>
    <w:rsid w:val="00BD587F"/>
    <w:rsid w:val="00BD5E1F"/>
    <w:rsid w:val="00BD5FDF"/>
    <w:rsid w:val="00BD6594"/>
    <w:rsid w:val="00BD6D69"/>
    <w:rsid w:val="00BD6FF8"/>
    <w:rsid w:val="00BD7269"/>
    <w:rsid w:val="00BD7D86"/>
    <w:rsid w:val="00BE1548"/>
    <w:rsid w:val="00BE1D89"/>
    <w:rsid w:val="00BE1E99"/>
    <w:rsid w:val="00BE1F1A"/>
    <w:rsid w:val="00BE1F1F"/>
    <w:rsid w:val="00BE2D09"/>
    <w:rsid w:val="00BE30C8"/>
    <w:rsid w:val="00BE338E"/>
    <w:rsid w:val="00BE3C7D"/>
    <w:rsid w:val="00BE3F3E"/>
    <w:rsid w:val="00BE481F"/>
    <w:rsid w:val="00BE58C2"/>
    <w:rsid w:val="00BE5BC3"/>
    <w:rsid w:val="00BE5BC9"/>
    <w:rsid w:val="00BE6382"/>
    <w:rsid w:val="00BE661F"/>
    <w:rsid w:val="00BE6BD8"/>
    <w:rsid w:val="00BE6CB9"/>
    <w:rsid w:val="00BE7170"/>
    <w:rsid w:val="00BE73AF"/>
    <w:rsid w:val="00BE77F7"/>
    <w:rsid w:val="00BE7C1A"/>
    <w:rsid w:val="00BE7E5B"/>
    <w:rsid w:val="00BF0005"/>
    <w:rsid w:val="00BF1043"/>
    <w:rsid w:val="00BF15EB"/>
    <w:rsid w:val="00BF18AA"/>
    <w:rsid w:val="00BF1AB9"/>
    <w:rsid w:val="00BF3314"/>
    <w:rsid w:val="00BF3483"/>
    <w:rsid w:val="00BF36DE"/>
    <w:rsid w:val="00BF38AB"/>
    <w:rsid w:val="00BF3AD1"/>
    <w:rsid w:val="00BF42CE"/>
    <w:rsid w:val="00BF4402"/>
    <w:rsid w:val="00BF461E"/>
    <w:rsid w:val="00BF4EF6"/>
    <w:rsid w:val="00BF52FB"/>
    <w:rsid w:val="00BF5CD9"/>
    <w:rsid w:val="00BF5FC0"/>
    <w:rsid w:val="00BF629F"/>
    <w:rsid w:val="00BF722E"/>
    <w:rsid w:val="00BF75FC"/>
    <w:rsid w:val="00BF7A4B"/>
    <w:rsid w:val="00BF7B07"/>
    <w:rsid w:val="00BF7C35"/>
    <w:rsid w:val="00BF7F9C"/>
    <w:rsid w:val="00C000C3"/>
    <w:rsid w:val="00C004E6"/>
    <w:rsid w:val="00C006BB"/>
    <w:rsid w:val="00C00DC7"/>
    <w:rsid w:val="00C011AB"/>
    <w:rsid w:val="00C012F5"/>
    <w:rsid w:val="00C015AC"/>
    <w:rsid w:val="00C01604"/>
    <w:rsid w:val="00C021DE"/>
    <w:rsid w:val="00C02633"/>
    <w:rsid w:val="00C02A35"/>
    <w:rsid w:val="00C02EF2"/>
    <w:rsid w:val="00C02F32"/>
    <w:rsid w:val="00C03758"/>
    <w:rsid w:val="00C03804"/>
    <w:rsid w:val="00C03E5C"/>
    <w:rsid w:val="00C04047"/>
    <w:rsid w:val="00C041BF"/>
    <w:rsid w:val="00C04B68"/>
    <w:rsid w:val="00C05154"/>
    <w:rsid w:val="00C060C0"/>
    <w:rsid w:val="00C06804"/>
    <w:rsid w:val="00C06B68"/>
    <w:rsid w:val="00C06C1F"/>
    <w:rsid w:val="00C0732B"/>
    <w:rsid w:val="00C07603"/>
    <w:rsid w:val="00C10115"/>
    <w:rsid w:val="00C10C16"/>
    <w:rsid w:val="00C1106F"/>
    <w:rsid w:val="00C1190C"/>
    <w:rsid w:val="00C11A9A"/>
    <w:rsid w:val="00C11C92"/>
    <w:rsid w:val="00C12862"/>
    <w:rsid w:val="00C12EE4"/>
    <w:rsid w:val="00C13448"/>
    <w:rsid w:val="00C13733"/>
    <w:rsid w:val="00C13CC7"/>
    <w:rsid w:val="00C140FB"/>
    <w:rsid w:val="00C144A9"/>
    <w:rsid w:val="00C14500"/>
    <w:rsid w:val="00C14EE5"/>
    <w:rsid w:val="00C15B19"/>
    <w:rsid w:val="00C15B63"/>
    <w:rsid w:val="00C16059"/>
    <w:rsid w:val="00C162FB"/>
    <w:rsid w:val="00C16FDE"/>
    <w:rsid w:val="00C171DD"/>
    <w:rsid w:val="00C1735E"/>
    <w:rsid w:val="00C175C4"/>
    <w:rsid w:val="00C17935"/>
    <w:rsid w:val="00C2087B"/>
    <w:rsid w:val="00C20C8E"/>
    <w:rsid w:val="00C20EF6"/>
    <w:rsid w:val="00C20FE7"/>
    <w:rsid w:val="00C21039"/>
    <w:rsid w:val="00C21358"/>
    <w:rsid w:val="00C21921"/>
    <w:rsid w:val="00C219EE"/>
    <w:rsid w:val="00C21A15"/>
    <w:rsid w:val="00C21C64"/>
    <w:rsid w:val="00C2240B"/>
    <w:rsid w:val="00C224BA"/>
    <w:rsid w:val="00C2299B"/>
    <w:rsid w:val="00C22E36"/>
    <w:rsid w:val="00C23162"/>
    <w:rsid w:val="00C23A99"/>
    <w:rsid w:val="00C24205"/>
    <w:rsid w:val="00C24532"/>
    <w:rsid w:val="00C24BAB"/>
    <w:rsid w:val="00C24F01"/>
    <w:rsid w:val="00C250F4"/>
    <w:rsid w:val="00C256DB"/>
    <w:rsid w:val="00C25850"/>
    <w:rsid w:val="00C25A67"/>
    <w:rsid w:val="00C25BF5"/>
    <w:rsid w:val="00C25C48"/>
    <w:rsid w:val="00C261EA"/>
    <w:rsid w:val="00C2649F"/>
    <w:rsid w:val="00C26CD9"/>
    <w:rsid w:val="00C30127"/>
    <w:rsid w:val="00C30519"/>
    <w:rsid w:val="00C305A7"/>
    <w:rsid w:val="00C30C16"/>
    <w:rsid w:val="00C316B7"/>
    <w:rsid w:val="00C31DD6"/>
    <w:rsid w:val="00C3202A"/>
    <w:rsid w:val="00C326B9"/>
    <w:rsid w:val="00C32747"/>
    <w:rsid w:val="00C32CEB"/>
    <w:rsid w:val="00C32D3D"/>
    <w:rsid w:val="00C32FA4"/>
    <w:rsid w:val="00C331A7"/>
    <w:rsid w:val="00C33243"/>
    <w:rsid w:val="00C33337"/>
    <w:rsid w:val="00C34351"/>
    <w:rsid w:val="00C346AE"/>
    <w:rsid w:val="00C349AA"/>
    <w:rsid w:val="00C34EF4"/>
    <w:rsid w:val="00C35669"/>
    <w:rsid w:val="00C360D5"/>
    <w:rsid w:val="00C36107"/>
    <w:rsid w:val="00C3682F"/>
    <w:rsid w:val="00C36A69"/>
    <w:rsid w:val="00C36E5A"/>
    <w:rsid w:val="00C37BFD"/>
    <w:rsid w:val="00C402D2"/>
    <w:rsid w:val="00C403C2"/>
    <w:rsid w:val="00C4040C"/>
    <w:rsid w:val="00C40874"/>
    <w:rsid w:val="00C4134A"/>
    <w:rsid w:val="00C41406"/>
    <w:rsid w:val="00C4143E"/>
    <w:rsid w:val="00C4146D"/>
    <w:rsid w:val="00C42179"/>
    <w:rsid w:val="00C4255E"/>
    <w:rsid w:val="00C42E3D"/>
    <w:rsid w:val="00C43125"/>
    <w:rsid w:val="00C43CAD"/>
    <w:rsid w:val="00C441D0"/>
    <w:rsid w:val="00C4436E"/>
    <w:rsid w:val="00C443B1"/>
    <w:rsid w:val="00C44653"/>
    <w:rsid w:val="00C44C1E"/>
    <w:rsid w:val="00C4529B"/>
    <w:rsid w:val="00C45609"/>
    <w:rsid w:val="00C45BB6"/>
    <w:rsid w:val="00C46115"/>
    <w:rsid w:val="00C46B36"/>
    <w:rsid w:val="00C46D3E"/>
    <w:rsid w:val="00C4712E"/>
    <w:rsid w:val="00C473A1"/>
    <w:rsid w:val="00C4781A"/>
    <w:rsid w:val="00C503DD"/>
    <w:rsid w:val="00C504DB"/>
    <w:rsid w:val="00C50BFE"/>
    <w:rsid w:val="00C50F2C"/>
    <w:rsid w:val="00C51323"/>
    <w:rsid w:val="00C5155A"/>
    <w:rsid w:val="00C51806"/>
    <w:rsid w:val="00C51ADA"/>
    <w:rsid w:val="00C51F82"/>
    <w:rsid w:val="00C52D10"/>
    <w:rsid w:val="00C52DEA"/>
    <w:rsid w:val="00C53696"/>
    <w:rsid w:val="00C54148"/>
    <w:rsid w:val="00C542A3"/>
    <w:rsid w:val="00C543C2"/>
    <w:rsid w:val="00C5456B"/>
    <w:rsid w:val="00C548EB"/>
    <w:rsid w:val="00C5546E"/>
    <w:rsid w:val="00C5594F"/>
    <w:rsid w:val="00C56256"/>
    <w:rsid w:val="00C56625"/>
    <w:rsid w:val="00C56734"/>
    <w:rsid w:val="00C56797"/>
    <w:rsid w:val="00C56A98"/>
    <w:rsid w:val="00C56F6C"/>
    <w:rsid w:val="00C57052"/>
    <w:rsid w:val="00C57D25"/>
    <w:rsid w:val="00C60138"/>
    <w:rsid w:val="00C60FD5"/>
    <w:rsid w:val="00C61E47"/>
    <w:rsid w:val="00C624FE"/>
    <w:rsid w:val="00C6294B"/>
    <w:rsid w:val="00C629E3"/>
    <w:rsid w:val="00C635B2"/>
    <w:rsid w:val="00C63678"/>
    <w:rsid w:val="00C63701"/>
    <w:rsid w:val="00C64251"/>
    <w:rsid w:val="00C64597"/>
    <w:rsid w:val="00C6479A"/>
    <w:rsid w:val="00C647AB"/>
    <w:rsid w:val="00C65097"/>
    <w:rsid w:val="00C65299"/>
    <w:rsid w:val="00C657DD"/>
    <w:rsid w:val="00C65FB5"/>
    <w:rsid w:val="00C6606A"/>
    <w:rsid w:val="00C674F0"/>
    <w:rsid w:val="00C67756"/>
    <w:rsid w:val="00C67A08"/>
    <w:rsid w:val="00C67B55"/>
    <w:rsid w:val="00C700E3"/>
    <w:rsid w:val="00C705FA"/>
    <w:rsid w:val="00C70A78"/>
    <w:rsid w:val="00C70BE4"/>
    <w:rsid w:val="00C722F7"/>
    <w:rsid w:val="00C72453"/>
    <w:rsid w:val="00C73022"/>
    <w:rsid w:val="00C730B1"/>
    <w:rsid w:val="00C739A0"/>
    <w:rsid w:val="00C740D6"/>
    <w:rsid w:val="00C75A99"/>
    <w:rsid w:val="00C760EA"/>
    <w:rsid w:val="00C76684"/>
    <w:rsid w:val="00C768B6"/>
    <w:rsid w:val="00C76EA7"/>
    <w:rsid w:val="00C76FF3"/>
    <w:rsid w:val="00C774A3"/>
    <w:rsid w:val="00C777FC"/>
    <w:rsid w:val="00C778F3"/>
    <w:rsid w:val="00C80375"/>
    <w:rsid w:val="00C8085A"/>
    <w:rsid w:val="00C81751"/>
    <w:rsid w:val="00C81BE1"/>
    <w:rsid w:val="00C81DC5"/>
    <w:rsid w:val="00C82160"/>
    <w:rsid w:val="00C824DC"/>
    <w:rsid w:val="00C82C4F"/>
    <w:rsid w:val="00C83073"/>
    <w:rsid w:val="00C83A31"/>
    <w:rsid w:val="00C83F7A"/>
    <w:rsid w:val="00C84366"/>
    <w:rsid w:val="00C84E75"/>
    <w:rsid w:val="00C852F2"/>
    <w:rsid w:val="00C85CEF"/>
    <w:rsid w:val="00C86734"/>
    <w:rsid w:val="00C867C6"/>
    <w:rsid w:val="00C8687A"/>
    <w:rsid w:val="00C86B45"/>
    <w:rsid w:val="00C86F42"/>
    <w:rsid w:val="00C871DB"/>
    <w:rsid w:val="00C87387"/>
    <w:rsid w:val="00C8792D"/>
    <w:rsid w:val="00C87A45"/>
    <w:rsid w:val="00C87F7E"/>
    <w:rsid w:val="00C90821"/>
    <w:rsid w:val="00C91738"/>
    <w:rsid w:val="00C91BF1"/>
    <w:rsid w:val="00C91D3D"/>
    <w:rsid w:val="00C920FF"/>
    <w:rsid w:val="00C9230B"/>
    <w:rsid w:val="00C92404"/>
    <w:rsid w:val="00C93803"/>
    <w:rsid w:val="00C938A6"/>
    <w:rsid w:val="00C93DF5"/>
    <w:rsid w:val="00C93E28"/>
    <w:rsid w:val="00C93F91"/>
    <w:rsid w:val="00C9486F"/>
    <w:rsid w:val="00C94A6E"/>
    <w:rsid w:val="00C952FD"/>
    <w:rsid w:val="00C9588E"/>
    <w:rsid w:val="00C95AA9"/>
    <w:rsid w:val="00C95D11"/>
    <w:rsid w:val="00C96088"/>
    <w:rsid w:val="00C96E02"/>
    <w:rsid w:val="00C9700A"/>
    <w:rsid w:val="00C973D8"/>
    <w:rsid w:val="00C977DB"/>
    <w:rsid w:val="00C97A51"/>
    <w:rsid w:val="00C97C1F"/>
    <w:rsid w:val="00C97C7A"/>
    <w:rsid w:val="00CA01EE"/>
    <w:rsid w:val="00CA0805"/>
    <w:rsid w:val="00CA09DF"/>
    <w:rsid w:val="00CA0D69"/>
    <w:rsid w:val="00CA1E29"/>
    <w:rsid w:val="00CA257A"/>
    <w:rsid w:val="00CA27C3"/>
    <w:rsid w:val="00CA2840"/>
    <w:rsid w:val="00CA30BF"/>
    <w:rsid w:val="00CA31FF"/>
    <w:rsid w:val="00CA3FF3"/>
    <w:rsid w:val="00CA4021"/>
    <w:rsid w:val="00CA4061"/>
    <w:rsid w:val="00CA4266"/>
    <w:rsid w:val="00CA4589"/>
    <w:rsid w:val="00CA46E2"/>
    <w:rsid w:val="00CA4D73"/>
    <w:rsid w:val="00CA4FE0"/>
    <w:rsid w:val="00CA503B"/>
    <w:rsid w:val="00CA5528"/>
    <w:rsid w:val="00CA5531"/>
    <w:rsid w:val="00CA63C7"/>
    <w:rsid w:val="00CA6FB5"/>
    <w:rsid w:val="00CA756C"/>
    <w:rsid w:val="00CA7AD5"/>
    <w:rsid w:val="00CB0335"/>
    <w:rsid w:val="00CB063E"/>
    <w:rsid w:val="00CB0F69"/>
    <w:rsid w:val="00CB163F"/>
    <w:rsid w:val="00CB168E"/>
    <w:rsid w:val="00CB2027"/>
    <w:rsid w:val="00CB2424"/>
    <w:rsid w:val="00CB25C8"/>
    <w:rsid w:val="00CB28B4"/>
    <w:rsid w:val="00CB29DD"/>
    <w:rsid w:val="00CB2F3D"/>
    <w:rsid w:val="00CB311C"/>
    <w:rsid w:val="00CB3428"/>
    <w:rsid w:val="00CB3B0D"/>
    <w:rsid w:val="00CB3CB6"/>
    <w:rsid w:val="00CB459A"/>
    <w:rsid w:val="00CB4B6A"/>
    <w:rsid w:val="00CB4D9D"/>
    <w:rsid w:val="00CB4DAC"/>
    <w:rsid w:val="00CB4F57"/>
    <w:rsid w:val="00CB563B"/>
    <w:rsid w:val="00CB64B5"/>
    <w:rsid w:val="00CB6750"/>
    <w:rsid w:val="00CB6C93"/>
    <w:rsid w:val="00CB75DB"/>
    <w:rsid w:val="00CB7B7C"/>
    <w:rsid w:val="00CC0025"/>
    <w:rsid w:val="00CC0294"/>
    <w:rsid w:val="00CC092E"/>
    <w:rsid w:val="00CC1248"/>
    <w:rsid w:val="00CC1360"/>
    <w:rsid w:val="00CC1475"/>
    <w:rsid w:val="00CC16FD"/>
    <w:rsid w:val="00CC17C8"/>
    <w:rsid w:val="00CC1D2C"/>
    <w:rsid w:val="00CC1DB7"/>
    <w:rsid w:val="00CC1F44"/>
    <w:rsid w:val="00CC2199"/>
    <w:rsid w:val="00CC2AE1"/>
    <w:rsid w:val="00CC3310"/>
    <w:rsid w:val="00CC338D"/>
    <w:rsid w:val="00CC354A"/>
    <w:rsid w:val="00CC4559"/>
    <w:rsid w:val="00CC460A"/>
    <w:rsid w:val="00CC4AE0"/>
    <w:rsid w:val="00CC4BE5"/>
    <w:rsid w:val="00CC4FCF"/>
    <w:rsid w:val="00CC58D9"/>
    <w:rsid w:val="00CC590F"/>
    <w:rsid w:val="00CC5CD2"/>
    <w:rsid w:val="00CC6784"/>
    <w:rsid w:val="00CC67B1"/>
    <w:rsid w:val="00CC6826"/>
    <w:rsid w:val="00CC6999"/>
    <w:rsid w:val="00CC790B"/>
    <w:rsid w:val="00CD03C4"/>
    <w:rsid w:val="00CD0443"/>
    <w:rsid w:val="00CD0644"/>
    <w:rsid w:val="00CD0D93"/>
    <w:rsid w:val="00CD0FC9"/>
    <w:rsid w:val="00CD14C9"/>
    <w:rsid w:val="00CD1593"/>
    <w:rsid w:val="00CD1782"/>
    <w:rsid w:val="00CD3095"/>
    <w:rsid w:val="00CD3358"/>
    <w:rsid w:val="00CD3487"/>
    <w:rsid w:val="00CD36C9"/>
    <w:rsid w:val="00CD3B8A"/>
    <w:rsid w:val="00CD3E94"/>
    <w:rsid w:val="00CD3F12"/>
    <w:rsid w:val="00CD4237"/>
    <w:rsid w:val="00CD4DEF"/>
    <w:rsid w:val="00CD4E84"/>
    <w:rsid w:val="00CD540D"/>
    <w:rsid w:val="00CD546D"/>
    <w:rsid w:val="00CD5898"/>
    <w:rsid w:val="00CD589B"/>
    <w:rsid w:val="00CD5D70"/>
    <w:rsid w:val="00CD6299"/>
    <w:rsid w:val="00CD6B6F"/>
    <w:rsid w:val="00CD6D5D"/>
    <w:rsid w:val="00CD6E87"/>
    <w:rsid w:val="00CD73A4"/>
    <w:rsid w:val="00CD7584"/>
    <w:rsid w:val="00CD76B4"/>
    <w:rsid w:val="00CE0341"/>
    <w:rsid w:val="00CE10AB"/>
    <w:rsid w:val="00CE1547"/>
    <w:rsid w:val="00CE15D6"/>
    <w:rsid w:val="00CE1601"/>
    <w:rsid w:val="00CE1DA7"/>
    <w:rsid w:val="00CE2279"/>
    <w:rsid w:val="00CE2639"/>
    <w:rsid w:val="00CE2A85"/>
    <w:rsid w:val="00CE2F26"/>
    <w:rsid w:val="00CE3020"/>
    <w:rsid w:val="00CE33C0"/>
    <w:rsid w:val="00CE340E"/>
    <w:rsid w:val="00CE3487"/>
    <w:rsid w:val="00CE3566"/>
    <w:rsid w:val="00CE35E6"/>
    <w:rsid w:val="00CE4288"/>
    <w:rsid w:val="00CE439F"/>
    <w:rsid w:val="00CE4478"/>
    <w:rsid w:val="00CE454C"/>
    <w:rsid w:val="00CE496E"/>
    <w:rsid w:val="00CE4C0F"/>
    <w:rsid w:val="00CE5734"/>
    <w:rsid w:val="00CE5891"/>
    <w:rsid w:val="00CE5B6B"/>
    <w:rsid w:val="00CE5BE2"/>
    <w:rsid w:val="00CE7426"/>
    <w:rsid w:val="00CF01E1"/>
    <w:rsid w:val="00CF04CD"/>
    <w:rsid w:val="00CF07FA"/>
    <w:rsid w:val="00CF0984"/>
    <w:rsid w:val="00CF0A98"/>
    <w:rsid w:val="00CF0AE1"/>
    <w:rsid w:val="00CF0B07"/>
    <w:rsid w:val="00CF0FAB"/>
    <w:rsid w:val="00CF1574"/>
    <w:rsid w:val="00CF16E1"/>
    <w:rsid w:val="00CF2649"/>
    <w:rsid w:val="00CF2A82"/>
    <w:rsid w:val="00CF2CC5"/>
    <w:rsid w:val="00CF397B"/>
    <w:rsid w:val="00CF3ACA"/>
    <w:rsid w:val="00CF3B82"/>
    <w:rsid w:val="00CF47C5"/>
    <w:rsid w:val="00CF4C0F"/>
    <w:rsid w:val="00CF527F"/>
    <w:rsid w:val="00CF52FB"/>
    <w:rsid w:val="00CF58DC"/>
    <w:rsid w:val="00CF59A6"/>
    <w:rsid w:val="00CF5E96"/>
    <w:rsid w:val="00CF5EA1"/>
    <w:rsid w:val="00CF626A"/>
    <w:rsid w:val="00CF6384"/>
    <w:rsid w:val="00CF6444"/>
    <w:rsid w:val="00CF6524"/>
    <w:rsid w:val="00CF6770"/>
    <w:rsid w:val="00CF6805"/>
    <w:rsid w:val="00CF6C0F"/>
    <w:rsid w:val="00CF72BE"/>
    <w:rsid w:val="00CF75FE"/>
    <w:rsid w:val="00CF79F8"/>
    <w:rsid w:val="00CF7E5C"/>
    <w:rsid w:val="00D006C1"/>
    <w:rsid w:val="00D01691"/>
    <w:rsid w:val="00D0182F"/>
    <w:rsid w:val="00D01972"/>
    <w:rsid w:val="00D01F0E"/>
    <w:rsid w:val="00D01F6F"/>
    <w:rsid w:val="00D02601"/>
    <w:rsid w:val="00D02D3E"/>
    <w:rsid w:val="00D039E3"/>
    <w:rsid w:val="00D03A76"/>
    <w:rsid w:val="00D03EF5"/>
    <w:rsid w:val="00D03F08"/>
    <w:rsid w:val="00D04320"/>
    <w:rsid w:val="00D046FE"/>
    <w:rsid w:val="00D04933"/>
    <w:rsid w:val="00D04A6A"/>
    <w:rsid w:val="00D0518C"/>
    <w:rsid w:val="00D05451"/>
    <w:rsid w:val="00D05464"/>
    <w:rsid w:val="00D055C4"/>
    <w:rsid w:val="00D057E5"/>
    <w:rsid w:val="00D0601F"/>
    <w:rsid w:val="00D06906"/>
    <w:rsid w:val="00D06C3A"/>
    <w:rsid w:val="00D071D8"/>
    <w:rsid w:val="00D07995"/>
    <w:rsid w:val="00D07E21"/>
    <w:rsid w:val="00D10141"/>
    <w:rsid w:val="00D10202"/>
    <w:rsid w:val="00D104E9"/>
    <w:rsid w:val="00D105DC"/>
    <w:rsid w:val="00D106E5"/>
    <w:rsid w:val="00D119B8"/>
    <w:rsid w:val="00D11CD0"/>
    <w:rsid w:val="00D12EBB"/>
    <w:rsid w:val="00D12FAA"/>
    <w:rsid w:val="00D13028"/>
    <w:rsid w:val="00D13333"/>
    <w:rsid w:val="00D133E8"/>
    <w:rsid w:val="00D13409"/>
    <w:rsid w:val="00D13620"/>
    <w:rsid w:val="00D136E9"/>
    <w:rsid w:val="00D137C2"/>
    <w:rsid w:val="00D13B1A"/>
    <w:rsid w:val="00D14113"/>
    <w:rsid w:val="00D14672"/>
    <w:rsid w:val="00D146BD"/>
    <w:rsid w:val="00D14C04"/>
    <w:rsid w:val="00D14ED2"/>
    <w:rsid w:val="00D15233"/>
    <w:rsid w:val="00D1543B"/>
    <w:rsid w:val="00D15C63"/>
    <w:rsid w:val="00D163A4"/>
    <w:rsid w:val="00D163EF"/>
    <w:rsid w:val="00D17275"/>
    <w:rsid w:val="00D17322"/>
    <w:rsid w:val="00D173A6"/>
    <w:rsid w:val="00D1744A"/>
    <w:rsid w:val="00D17563"/>
    <w:rsid w:val="00D1794B"/>
    <w:rsid w:val="00D17AEB"/>
    <w:rsid w:val="00D17BD7"/>
    <w:rsid w:val="00D17C40"/>
    <w:rsid w:val="00D17C86"/>
    <w:rsid w:val="00D17CA4"/>
    <w:rsid w:val="00D17EEE"/>
    <w:rsid w:val="00D200F8"/>
    <w:rsid w:val="00D20134"/>
    <w:rsid w:val="00D20183"/>
    <w:rsid w:val="00D2044D"/>
    <w:rsid w:val="00D20B31"/>
    <w:rsid w:val="00D213C1"/>
    <w:rsid w:val="00D21488"/>
    <w:rsid w:val="00D2177C"/>
    <w:rsid w:val="00D218CD"/>
    <w:rsid w:val="00D21B2C"/>
    <w:rsid w:val="00D21B7A"/>
    <w:rsid w:val="00D220A4"/>
    <w:rsid w:val="00D22726"/>
    <w:rsid w:val="00D22AD0"/>
    <w:rsid w:val="00D23293"/>
    <w:rsid w:val="00D23393"/>
    <w:rsid w:val="00D24302"/>
    <w:rsid w:val="00D2449D"/>
    <w:rsid w:val="00D248B4"/>
    <w:rsid w:val="00D249C3"/>
    <w:rsid w:val="00D24A21"/>
    <w:rsid w:val="00D24E86"/>
    <w:rsid w:val="00D251B8"/>
    <w:rsid w:val="00D251F3"/>
    <w:rsid w:val="00D254A1"/>
    <w:rsid w:val="00D2561B"/>
    <w:rsid w:val="00D256B3"/>
    <w:rsid w:val="00D262ED"/>
    <w:rsid w:val="00D26AA0"/>
    <w:rsid w:val="00D26B3C"/>
    <w:rsid w:val="00D26E7A"/>
    <w:rsid w:val="00D271FB"/>
    <w:rsid w:val="00D273D3"/>
    <w:rsid w:val="00D278CC"/>
    <w:rsid w:val="00D2793F"/>
    <w:rsid w:val="00D27D18"/>
    <w:rsid w:val="00D30531"/>
    <w:rsid w:val="00D30844"/>
    <w:rsid w:val="00D30B35"/>
    <w:rsid w:val="00D30E86"/>
    <w:rsid w:val="00D30F0B"/>
    <w:rsid w:val="00D30F4C"/>
    <w:rsid w:val="00D30FFC"/>
    <w:rsid w:val="00D31229"/>
    <w:rsid w:val="00D31295"/>
    <w:rsid w:val="00D316F7"/>
    <w:rsid w:val="00D318E4"/>
    <w:rsid w:val="00D31B5A"/>
    <w:rsid w:val="00D31C05"/>
    <w:rsid w:val="00D32B37"/>
    <w:rsid w:val="00D33343"/>
    <w:rsid w:val="00D33513"/>
    <w:rsid w:val="00D33899"/>
    <w:rsid w:val="00D33AF3"/>
    <w:rsid w:val="00D345C0"/>
    <w:rsid w:val="00D34E72"/>
    <w:rsid w:val="00D35002"/>
    <w:rsid w:val="00D35084"/>
    <w:rsid w:val="00D353B1"/>
    <w:rsid w:val="00D361E9"/>
    <w:rsid w:val="00D366DF"/>
    <w:rsid w:val="00D3675D"/>
    <w:rsid w:val="00D368A4"/>
    <w:rsid w:val="00D36D63"/>
    <w:rsid w:val="00D371B1"/>
    <w:rsid w:val="00D377DE"/>
    <w:rsid w:val="00D378FD"/>
    <w:rsid w:val="00D37A8A"/>
    <w:rsid w:val="00D4001B"/>
    <w:rsid w:val="00D40179"/>
    <w:rsid w:val="00D40189"/>
    <w:rsid w:val="00D4030F"/>
    <w:rsid w:val="00D40690"/>
    <w:rsid w:val="00D4083B"/>
    <w:rsid w:val="00D422B8"/>
    <w:rsid w:val="00D427EB"/>
    <w:rsid w:val="00D4350C"/>
    <w:rsid w:val="00D43A21"/>
    <w:rsid w:val="00D43BE1"/>
    <w:rsid w:val="00D445C6"/>
    <w:rsid w:val="00D446FE"/>
    <w:rsid w:val="00D4492F"/>
    <w:rsid w:val="00D449F7"/>
    <w:rsid w:val="00D44BD1"/>
    <w:rsid w:val="00D44D72"/>
    <w:rsid w:val="00D44DDF"/>
    <w:rsid w:val="00D45246"/>
    <w:rsid w:val="00D453D4"/>
    <w:rsid w:val="00D45AC2"/>
    <w:rsid w:val="00D45F81"/>
    <w:rsid w:val="00D46345"/>
    <w:rsid w:val="00D464C2"/>
    <w:rsid w:val="00D465ED"/>
    <w:rsid w:val="00D46999"/>
    <w:rsid w:val="00D46A6E"/>
    <w:rsid w:val="00D46C89"/>
    <w:rsid w:val="00D46F2D"/>
    <w:rsid w:val="00D4720E"/>
    <w:rsid w:val="00D47306"/>
    <w:rsid w:val="00D4767A"/>
    <w:rsid w:val="00D47A59"/>
    <w:rsid w:val="00D47A9D"/>
    <w:rsid w:val="00D47E46"/>
    <w:rsid w:val="00D47E5C"/>
    <w:rsid w:val="00D5097E"/>
    <w:rsid w:val="00D50C66"/>
    <w:rsid w:val="00D51341"/>
    <w:rsid w:val="00D514A5"/>
    <w:rsid w:val="00D51BED"/>
    <w:rsid w:val="00D51CD6"/>
    <w:rsid w:val="00D52150"/>
    <w:rsid w:val="00D521F1"/>
    <w:rsid w:val="00D5249E"/>
    <w:rsid w:val="00D5250F"/>
    <w:rsid w:val="00D52881"/>
    <w:rsid w:val="00D528F2"/>
    <w:rsid w:val="00D52B56"/>
    <w:rsid w:val="00D52DCE"/>
    <w:rsid w:val="00D530CD"/>
    <w:rsid w:val="00D53529"/>
    <w:rsid w:val="00D53549"/>
    <w:rsid w:val="00D5363F"/>
    <w:rsid w:val="00D53763"/>
    <w:rsid w:val="00D53CE9"/>
    <w:rsid w:val="00D53E41"/>
    <w:rsid w:val="00D54020"/>
    <w:rsid w:val="00D54259"/>
    <w:rsid w:val="00D54EA4"/>
    <w:rsid w:val="00D54F02"/>
    <w:rsid w:val="00D5541F"/>
    <w:rsid w:val="00D55A1E"/>
    <w:rsid w:val="00D55AE3"/>
    <w:rsid w:val="00D55C6B"/>
    <w:rsid w:val="00D55CAE"/>
    <w:rsid w:val="00D55F59"/>
    <w:rsid w:val="00D566E5"/>
    <w:rsid w:val="00D56C89"/>
    <w:rsid w:val="00D572B9"/>
    <w:rsid w:val="00D57FF3"/>
    <w:rsid w:val="00D602D6"/>
    <w:rsid w:val="00D61908"/>
    <w:rsid w:val="00D62305"/>
    <w:rsid w:val="00D62D5A"/>
    <w:rsid w:val="00D63617"/>
    <w:rsid w:val="00D63889"/>
    <w:rsid w:val="00D64FF1"/>
    <w:rsid w:val="00D654A6"/>
    <w:rsid w:val="00D65569"/>
    <w:rsid w:val="00D656F4"/>
    <w:rsid w:val="00D65777"/>
    <w:rsid w:val="00D657D4"/>
    <w:rsid w:val="00D65CBB"/>
    <w:rsid w:val="00D6753B"/>
    <w:rsid w:val="00D67CF7"/>
    <w:rsid w:val="00D67E73"/>
    <w:rsid w:val="00D70224"/>
    <w:rsid w:val="00D70530"/>
    <w:rsid w:val="00D70B31"/>
    <w:rsid w:val="00D70BEC"/>
    <w:rsid w:val="00D7136C"/>
    <w:rsid w:val="00D7160D"/>
    <w:rsid w:val="00D71625"/>
    <w:rsid w:val="00D7166A"/>
    <w:rsid w:val="00D719CC"/>
    <w:rsid w:val="00D71A86"/>
    <w:rsid w:val="00D71AA9"/>
    <w:rsid w:val="00D722F6"/>
    <w:rsid w:val="00D72403"/>
    <w:rsid w:val="00D72606"/>
    <w:rsid w:val="00D72746"/>
    <w:rsid w:val="00D72E58"/>
    <w:rsid w:val="00D73081"/>
    <w:rsid w:val="00D73236"/>
    <w:rsid w:val="00D7331F"/>
    <w:rsid w:val="00D73373"/>
    <w:rsid w:val="00D739D4"/>
    <w:rsid w:val="00D73BE5"/>
    <w:rsid w:val="00D74650"/>
    <w:rsid w:val="00D7485C"/>
    <w:rsid w:val="00D74E13"/>
    <w:rsid w:val="00D750C3"/>
    <w:rsid w:val="00D7526B"/>
    <w:rsid w:val="00D75327"/>
    <w:rsid w:val="00D75C07"/>
    <w:rsid w:val="00D75D8B"/>
    <w:rsid w:val="00D76688"/>
    <w:rsid w:val="00D766EE"/>
    <w:rsid w:val="00D76AB4"/>
    <w:rsid w:val="00D771F2"/>
    <w:rsid w:val="00D77618"/>
    <w:rsid w:val="00D777A7"/>
    <w:rsid w:val="00D77917"/>
    <w:rsid w:val="00D8082E"/>
    <w:rsid w:val="00D80844"/>
    <w:rsid w:val="00D808F8"/>
    <w:rsid w:val="00D80A26"/>
    <w:rsid w:val="00D80AC8"/>
    <w:rsid w:val="00D80B07"/>
    <w:rsid w:val="00D80CED"/>
    <w:rsid w:val="00D8117B"/>
    <w:rsid w:val="00D818A9"/>
    <w:rsid w:val="00D82068"/>
    <w:rsid w:val="00D820F0"/>
    <w:rsid w:val="00D82154"/>
    <w:rsid w:val="00D821BA"/>
    <w:rsid w:val="00D82314"/>
    <w:rsid w:val="00D826D5"/>
    <w:rsid w:val="00D8274A"/>
    <w:rsid w:val="00D83277"/>
    <w:rsid w:val="00D83D7C"/>
    <w:rsid w:val="00D84473"/>
    <w:rsid w:val="00D84C72"/>
    <w:rsid w:val="00D84E9F"/>
    <w:rsid w:val="00D85727"/>
    <w:rsid w:val="00D85918"/>
    <w:rsid w:val="00D85956"/>
    <w:rsid w:val="00D85D04"/>
    <w:rsid w:val="00D85D5A"/>
    <w:rsid w:val="00D85D99"/>
    <w:rsid w:val="00D85DD8"/>
    <w:rsid w:val="00D8604C"/>
    <w:rsid w:val="00D86A99"/>
    <w:rsid w:val="00D87497"/>
    <w:rsid w:val="00D87A08"/>
    <w:rsid w:val="00D87EA8"/>
    <w:rsid w:val="00D87ECF"/>
    <w:rsid w:val="00D90139"/>
    <w:rsid w:val="00D90D55"/>
    <w:rsid w:val="00D90E1D"/>
    <w:rsid w:val="00D912CC"/>
    <w:rsid w:val="00D918DA"/>
    <w:rsid w:val="00D92192"/>
    <w:rsid w:val="00D92CB3"/>
    <w:rsid w:val="00D92D54"/>
    <w:rsid w:val="00D930E6"/>
    <w:rsid w:val="00D931FC"/>
    <w:rsid w:val="00D93435"/>
    <w:rsid w:val="00D93B90"/>
    <w:rsid w:val="00D93BB2"/>
    <w:rsid w:val="00D94257"/>
    <w:rsid w:val="00D945AC"/>
    <w:rsid w:val="00D95AE3"/>
    <w:rsid w:val="00D96B7C"/>
    <w:rsid w:val="00D97A8E"/>
    <w:rsid w:val="00D97BDD"/>
    <w:rsid w:val="00DA13E1"/>
    <w:rsid w:val="00DA1716"/>
    <w:rsid w:val="00DA1987"/>
    <w:rsid w:val="00DA1AF4"/>
    <w:rsid w:val="00DA203A"/>
    <w:rsid w:val="00DA3496"/>
    <w:rsid w:val="00DA3D72"/>
    <w:rsid w:val="00DA48B8"/>
    <w:rsid w:val="00DA59A7"/>
    <w:rsid w:val="00DA5C55"/>
    <w:rsid w:val="00DA6253"/>
    <w:rsid w:val="00DA68FA"/>
    <w:rsid w:val="00DA6C1A"/>
    <w:rsid w:val="00DA6C50"/>
    <w:rsid w:val="00DA6D9B"/>
    <w:rsid w:val="00DA6EEA"/>
    <w:rsid w:val="00DA7121"/>
    <w:rsid w:val="00DA714A"/>
    <w:rsid w:val="00DA796E"/>
    <w:rsid w:val="00DB0263"/>
    <w:rsid w:val="00DB0A95"/>
    <w:rsid w:val="00DB0E39"/>
    <w:rsid w:val="00DB1426"/>
    <w:rsid w:val="00DB15EE"/>
    <w:rsid w:val="00DB18DA"/>
    <w:rsid w:val="00DB1F68"/>
    <w:rsid w:val="00DB20F1"/>
    <w:rsid w:val="00DB28FD"/>
    <w:rsid w:val="00DB2A23"/>
    <w:rsid w:val="00DB2BD9"/>
    <w:rsid w:val="00DB2E52"/>
    <w:rsid w:val="00DB2FC1"/>
    <w:rsid w:val="00DB335B"/>
    <w:rsid w:val="00DB3567"/>
    <w:rsid w:val="00DB35E9"/>
    <w:rsid w:val="00DB3800"/>
    <w:rsid w:val="00DB3BBA"/>
    <w:rsid w:val="00DB405F"/>
    <w:rsid w:val="00DB4831"/>
    <w:rsid w:val="00DB48D7"/>
    <w:rsid w:val="00DB4A3B"/>
    <w:rsid w:val="00DB4DEC"/>
    <w:rsid w:val="00DB4EA8"/>
    <w:rsid w:val="00DB578B"/>
    <w:rsid w:val="00DB5DFE"/>
    <w:rsid w:val="00DB62AB"/>
    <w:rsid w:val="00DB63BA"/>
    <w:rsid w:val="00DB6BC9"/>
    <w:rsid w:val="00DB6C8C"/>
    <w:rsid w:val="00DB6FEF"/>
    <w:rsid w:val="00DB73DD"/>
    <w:rsid w:val="00DB7CD7"/>
    <w:rsid w:val="00DB7E1F"/>
    <w:rsid w:val="00DC02B1"/>
    <w:rsid w:val="00DC0861"/>
    <w:rsid w:val="00DC092D"/>
    <w:rsid w:val="00DC0D6B"/>
    <w:rsid w:val="00DC18F7"/>
    <w:rsid w:val="00DC1AE0"/>
    <w:rsid w:val="00DC1B21"/>
    <w:rsid w:val="00DC26FC"/>
    <w:rsid w:val="00DC27EE"/>
    <w:rsid w:val="00DC2BD7"/>
    <w:rsid w:val="00DC31C4"/>
    <w:rsid w:val="00DC3256"/>
    <w:rsid w:val="00DC39AF"/>
    <w:rsid w:val="00DC39EB"/>
    <w:rsid w:val="00DC3D3F"/>
    <w:rsid w:val="00DC4242"/>
    <w:rsid w:val="00DC43BB"/>
    <w:rsid w:val="00DC47BA"/>
    <w:rsid w:val="00DC49C0"/>
    <w:rsid w:val="00DC4B5D"/>
    <w:rsid w:val="00DC5506"/>
    <w:rsid w:val="00DC593D"/>
    <w:rsid w:val="00DC5DAB"/>
    <w:rsid w:val="00DC627D"/>
    <w:rsid w:val="00DC663B"/>
    <w:rsid w:val="00DC6B81"/>
    <w:rsid w:val="00DC7454"/>
    <w:rsid w:val="00DC7710"/>
    <w:rsid w:val="00DC79FC"/>
    <w:rsid w:val="00DD0785"/>
    <w:rsid w:val="00DD08B0"/>
    <w:rsid w:val="00DD09F9"/>
    <w:rsid w:val="00DD116C"/>
    <w:rsid w:val="00DD1291"/>
    <w:rsid w:val="00DD16BD"/>
    <w:rsid w:val="00DD18A1"/>
    <w:rsid w:val="00DD1ACB"/>
    <w:rsid w:val="00DD1BE2"/>
    <w:rsid w:val="00DD1EA4"/>
    <w:rsid w:val="00DD241B"/>
    <w:rsid w:val="00DD27F6"/>
    <w:rsid w:val="00DD2ABE"/>
    <w:rsid w:val="00DD2C27"/>
    <w:rsid w:val="00DD3785"/>
    <w:rsid w:val="00DD37C3"/>
    <w:rsid w:val="00DD3909"/>
    <w:rsid w:val="00DD404F"/>
    <w:rsid w:val="00DD41A9"/>
    <w:rsid w:val="00DD43A1"/>
    <w:rsid w:val="00DD4BEE"/>
    <w:rsid w:val="00DD53D8"/>
    <w:rsid w:val="00DD5419"/>
    <w:rsid w:val="00DD57D3"/>
    <w:rsid w:val="00DD6655"/>
    <w:rsid w:val="00DD6CB7"/>
    <w:rsid w:val="00DD7129"/>
    <w:rsid w:val="00DD785D"/>
    <w:rsid w:val="00DE005D"/>
    <w:rsid w:val="00DE04D9"/>
    <w:rsid w:val="00DE07ED"/>
    <w:rsid w:val="00DE0BED"/>
    <w:rsid w:val="00DE0E23"/>
    <w:rsid w:val="00DE119A"/>
    <w:rsid w:val="00DE1EE1"/>
    <w:rsid w:val="00DE22E5"/>
    <w:rsid w:val="00DE2BB5"/>
    <w:rsid w:val="00DE3DA9"/>
    <w:rsid w:val="00DE3E4A"/>
    <w:rsid w:val="00DE4532"/>
    <w:rsid w:val="00DE47CC"/>
    <w:rsid w:val="00DE4B82"/>
    <w:rsid w:val="00DE4F06"/>
    <w:rsid w:val="00DE5B9F"/>
    <w:rsid w:val="00DE5BA4"/>
    <w:rsid w:val="00DE6064"/>
    <w:rsid w:val="00DE6320"/>
    <w:rsid w:val="00DE69EC"/>
    <w:rsid w:val="00DE6BFD"/>
    <w:rsid w:val="00DE6C43"/>
    <w:rsid w:val="00DE6D83"/>
    <w:rsid w:val="00DE6EBD"/>
    <w:rsid w:val="00DE6FF6"/>
    <w:rsid w:val="00DE743D"/>
    <w:rsid w:val="00DE74CE"/>
    <w:rsid w:val="00DE753B"/>
    <w:rsid w:val="00DE767E"/>
    <w:rsid w:val="00DF0353"/>
    <w:rsid w:val="00DF05E2"/>
    <w:rsid w:val="00DF0801"/>
    <w:rsid w:val="00DF08E4"/>
    <w:rsid w:val="00DF0AFE"/>
    <w:rsid w:val="00DF1015"/>
    <w:rsid w:val="00DF2C1B"/>
    <w:rsid w:val="00DF2ECD"/>
    <w:rsid w:val="00DF36F8"/>
    <w:rsid w:val="00DF37B8"/>
    <w:rsid w:val="00DF38CD"/>
    <w:rsid w:val="00DF3DAB"/>
    <w:rsid w:val="00DF40CE"/>
    <w:rsid w:val="00DF47B4"/>
    <w:rsid w:val="00DF4F97"/>
    <w:rsid w:val="00DF549D"/>
    <w:rsid w:val="00DF588D"/>
    <w:rsid w:val="00DF5BCD"/>
    <w:rsid w:val="00DF5C35"/>
    <w:rsid w:val="00DF5CBC"/>
    <w:rsid w:val="00DF5D0C"/>
    <w:rsid w:val="00DF5F9A"/>
    <w:rsid w:val="00DF6113"/>
    <w:rsid w:val="00DF6331"/>
    <w:rsid w:val="00DF647C"/>
    <w:rsid w:val="00DF6D3F"/>
    <w:rsid w:val="00DF6E40"/>
    <w:rsid w:val="00DF6FC6"/>
    <w:rsid w:val="00DF71D3"/>
    <w:rsid w:val="00DF7670"/>
    <w:rsid w:val="00DF7EF3"/>
    <w:rsid w:val="00DF7FBD"/>
    <w:rsid w:val="00E00EDF"/>
    <w:rsid w:val="00E010C9"/>
    <w:rsid w:val="00E01CF5"/>
    <w:rsid w:val="00E020D6"/>
    <w:rsid w:val="00E028CC"/>
    <w:rsid w:val="00E02EAB"/>
    <w:rsid w:val="00E03B7F"/>
    <w:rsid w:val="00E03D01"/>
    <w:rsid w:val="00E03DB4"/>
    <w:rsid w:val="00E041BA"/>
    <w:rsid w:val="00E04AB5"/>
    <w:rsid w:val="00E04F60"/>
    <w:rsid w:val="00E056EE"/>
    <w:rsid w:val="00E059E5"/>
    <w:rsid w:val="00E06C4C"/>
    <w:rsid w:val="00E06CF4"/>
    <w:rsid w:val="00E06E6A"/>
    <w:rsid w:val="00E10566"/>
    <w:rsid w:val="00E1142A"/>
    <w:rsid w:val="00E11F58"/>
    <w:rsid w:val="00E123F9"/>
    <w:rsid w:val="00E125B5"/>
    <w:rsid w:val="00E1301F"/>
    <w:rsid w:val="00E130C1"/>
    <w:rsid w:val="00E13405"/>
    <w:rsid w:val="00E138B7"/>
    <w:rsid w:val="00E13A85"/>
    <w:rsid w:val="00E13E44"/>
    <w:rsid w:val="00E144D3"/>
    <w:rsid w:val="00E14B07"/>
    <w:rsid w:val="00E1547A"/>
    <w:rsid w:val="00E15503"/>
    <w:rsid w:val="00E15941"/>
    <w:rsid w:val="00E15BE3"/>
    <w:rsid w:val="00E15D2C"/>
    <w:rsid w:val="00E15ED4"/>
    <w:rsid w:val="00E17769"/>
    <w:rsid w:val="00E178DC"/>
    <w:rsid w:val="00E17D90"/>
    <w:rsid w:val="00E203A3"/>
    <w:rsid w:val="00E20625"/>
    <w:rsid w:val="00E20775"/>
    <w:rsid w:val="00E2079B"/>
    <w:rsid w:val="00E2112C"/>
    <w:rsid w:val="00E212A1"/>
    <w:rsid w:val="00E21381"/>
    <w:rsid w:val="00E21795"/>
    <w:rsid w:val="00E217F0"/>
    <w:rsid w:val="00E219BB"/>
    <w:rsid w:val="00E221DD"/>
    <w:rsid w:val="00E22598"/>
    <w:rsid w:val="00E22889"/>
    <w:rsid w:val="00E22A05"/>
    <w:rsid w:val="00E22C3E"/>
    <w:rsid w:val="00E23158"/>
    <w:rsid w:val="00E2336E"/>
    <w:rsid w:val="00E23A80"/>
    <w:rsid w:val="00E2441C"/>
    <w:rsid w:val="00E24550"/>
    <w:rsid w:val="00E24736"/>
    <w:rsid w:val="00E24859"/>
    <w:rsid w:val="00E24AA1"/>
    <w:rsid w:val="00E2500B"/>
    <w:rsid w:val="00E255FF"/>
    <w:rsid w:val="00E2567A"/>
    <w:rsid w:val="00E266E3"/>
    <w:rsid w:val="00E26B56"/>
    <w:rsid w:val="00E273AE"/>
    <w:rsid w:val="00E27982"/>
    <w:rsid w:val="00E27D54"/>
    <w:rsid w:val="00E27F86"/>
    <w:rsid w:val="00E310CD"/>
    <w:rsid w:val="00E31542"/>
    <w:rsid w:val="00E317D7"/>
    <w:rsid w:val="00E31AED"/>
    <w:rsid w:val="00E31E09"/>
    <w:rsid w:val="00E321E6"/>
    <w:rsid w:val="00E326A8"/>
    <w:rsid w:val="00E32881"/>
    <w:rsid w:val="00E32C71"/>
    <w:rsid w:val="00E32DFA"/>
    <w:rsid w:val="00E33442"/>
    <w:rsid w:val="00E33DE1"/>
    <w:rsid w:val="00E33EFB"/>
    <w:rsid w:val="00E33F16"/>
    <w:rsid w:val="00E34745"/>
    <w:rsid w:val="00E34DCA"/>
    <w:rsid w:val="00E350E3"/>
    <w:rsid w:val="00E3529E"/>
    <w:rsid w:val="00E35479"/>
    <w:rsid w:val="00E35554"/>
    <w:rsid w:val="00E355AF"/>
    <w:rsid w:val="00E35719"/>
    <w:rsid w:val="00E357BE"/>
    <w:rsid w:val="00E372D0"/>
    <w:rsid w:val="00E3745F"/>
    <w:rsid w:val="00E376E7"/>
    <w:rsid w:val="00E37A10"/>
    <w:rsid w:val="00E37B4B"/>
    <w:rsid w:val="00E37CB6"/>
    <w:rsid w:val="00E40041"/>
    <w:rsid w:val="00E4015F"/>
    <w:rsid w:val="00E4061F"/>
    <w:rsid w:val="00E40C41"/>
    <w:rsid w:val="00E40F38"/>
    <w:rsid w:val="00E41A6C"/>
    <w:rsid w:val="00E41C7C"/>
    <w:rsid w:val="00E4226D"/>
    <w:rsid w:val="00E4278E"/>
    <w:rsid w:val="00E42AEB"/>
    <w:rsid w:val="00E42EAB"/>
    <w:rsid w:val="00E4366D"/>
    <w:rsid w:val="00E43A0D"/>
    <w:rsid w:val="00E43DC9"/>
    <w:rsid w:val="00E444C1"/>
    <w:rsid w:val="00E44D07"/>
    <w:rsid w:val="00E450FB"/>
    <w:rsid w:val="00E46705"/>
    <w:rsid w:val="00E47035"/>
    <w:rsid w:val="00E47244"/>
    <w:rsid w:val="00E473D0"/>
    <w:rsid w:val="00E475BE"/>
    <w:rsid w:val="00E4780C"/>
    <w:rsid w:val="00E50296"/>
    <w:rsid w:val="00E503FB"/>
    <w:rsid w:val="00E50554"/>
    <w:rsid w:val="00E50E45"/>
    <w:rsid w:val="00E51011"/>
    <w:rsid w:val="00E512CA"/>
    <w:rsid w:val="00E51C2E"/>
    <w:rsid w:val="00E52611"/>
    <w:rsid w:val="00E52A63"/>
    <w:rsid w:val="00E52E40"/>
    <w:rsid w:val="00E52EB3"/>
    <w:rsid w:val="00E536B9"/>
    <w:rsid w:val="00E53A2C"/>
    <w:rsid w:val="00E53BC5"/>
    <w:rsid w:val="00E53DED"/>
    <w:rsid w:val="00E5482F"/>
    <w:rsid w:val="00E54EB4"/>
    <w:rsid w:val="00E54FCA"/>
    <w:rsid w:val="00E5540C"/>
    <w:rsid w:val="00E561E2"/>
    <w:rsid w:val="00E561FF"/>
    <w:rsid w:val="00E56585"/>
    <w:rsid w:val="00E565C2"/>
    <w:rsid w:val="00E56B56"/>
    <w:rsid w:val="00E56DE9"/>
    <w:rsid w:val="00E57207"/>
    <w:rsid w:val="00E57299"/>
    <w:rsid w:val="00E5755F"/>
    <w:rsid w:val="00E57599"/>
    <w:rsid w:val="00E57971"/>
    <w:rsid w:val="00E57ED0"/>
    <w:rsid w:val="00E60216"/>
    <w:rsid w:val="00E602E5"/>
    <w:rsid w:val="00E602FD"/>
    <w:rsid w:val="00E60845"/>
    <w:rsid w:val="00E60C5F"/>
    <w:rsid w:val="00E61676"/>
    <w:rsid w:val="00E61860"/>
    <w:rsid w:val="00E6225F"/>
    <w:rsid w:val="00E622C7"/>
    <w:rsid w:val="00E622D4"/>
    <w:rsid w:val="00E62385"/>
    <w:rsid w:val="00E6286A"/>
    <w:rsid w:val="00E62D6C"/>
    <w:rsid w:val="00E630FC"/>
    <w:rsid w:val="00E6344F"/>
    <w:rsid w:val="00E6380C"/>
    <w:rsid w:val="00E63943"/>
    <w:rsid w:val="00E64717"/>
    <w:rsid w:val="00E64EE1"/>
    <w:rsid w:val="00E650B6"/>
    <w:rsid w:val="00E65118"/>
    <w:rsid w:val="00E6534C"/>
    <w:rsid w:val="00E659EB"/>
    <w:rsid w:val="00E65A4C"/>
    <w:rsid w:val="00E65ADD"/>
    <w:rsid w:val="00E65B3E"/>
    <w:rsid w:val="00E664A9"/>
    <w:rsid w:val="00E66BE1"/>
    <w:rsid w:val="00E7019D"/>
    <w:rsid w:val="00E7058D"/>
    <w:rsid w:val="00E707A3"/>
    <w:rsid w:val="00E70879"/>
    <w:rsid w:val="00E71046"/>
    <w:rsid w:val="00E71A88"/>
    <w:rsid w:val="00E722CE"/>
    <w:rsid w:val="00E724FE"/>
    <w:rsid w:val="00E72862"/>
    <w:rsid w:val="00E733C4"/>
    <w:rsid w:val="00E73927"/>
    <w:rsid w:val="00E739F7"/>
    <w:rsid w:val="00E743FA"/>
    <w:rsid w:val="00E74745"/>
    <w:rsid w:val="00E758CB"/>
    <w:rsid w:val="00E75FCB"/>
    <w:rsid w:val="00E76BC5"/>
    <w:rsid w:val="00E7751B"/>
    <w:rsid w:val="00E77F86"/>
    <w:rsid w:val="00E809C9"/>
    <w:rsid w:val="00E80ABC"/>
    <w:rsid w:val="00E80CF6"/>
    <w:rsid w:val="00E81932"/>
    <w:rsid w:val="00E8260D"/>
    <w:rsid w:val="00E82E22"/>
    <w:rsid w:val="00E833D4"/>
    <w:rsid w:val="00E845E5"/>
    <w:rsid w:val="00E8474A"/>
    <w:rsid w:val="00E848BC"/>
    <w:rsid w:val="00E84E0F"/>
    <w:rsid w:val="00E84E6A"/>
    <w:rsid w:val="00E86599"/>
    <w:rsid w:val="00E86E05"/>
    <w:rsid w:val="00E87688"/>
    <w:rsid w:val="00E87F30"/>
    <w:rsid w:val="00E90103"/>
    <w:rsid w:val="00E9011F"/>
    <w:rsid w:val="00E90B2F"/>
    <w:rsid w:val="00E918D3"/>
    <w:rsid w:val="00E91C95"/>
    <w:rsid w:val="00E91DAF"/>
    <w:rsid w:val="00E9241A"/>
    <w:rsid w:val="00E927BF"/>
    <w:rsid w:val="00E9292C"/>
    <w:rsid w:val="00E92E7C"/>
    <w:rsid w:val="00E92F16"/>
    <w:rsid w:val="00E93127"/>
    <w:rsid w:val="00E9333D"/>
    <w:rsid w:val="00E93DEB"/>
    <w:rsid w:val="00E94176"/>
    <w:rsid w:val="00E9418D"/>
    <w:rsid w:val="00E9431A"/>
    <w:rsid w:val="00E94F63"/>
    <w:rsid w:val="00E94FFB"/>
    <w:rsid w:val="00E952C0"/>
    <w:rsid w:val="00E953DC"/>
    <w:rsid w:val="00E95A97"/>
    <w:rsid w:val="00E95AC0"/>
    <w:rsid w:val="00E95B15"/>
    <w:rsid w:val="00E95EA3"/>
    <w:rsid w:val="00E95EB2"/>
    <w:rsid w:val="00E97004"/>
    <w:rsid w:val="00E970E5"/>
    <w:rsid w:val="00E9768A"/>
    <w:rsid w:val="00E977D4"/>
    <w:rsid w:val="00E97F60"/>
    <w:rsid w:val="00EA0090"/>
    <w:rsid w:val="00EA0167"/>
    <w:rsid w:val="00EA0341"/>
    <w:rsid w:val="00EA0F09"/>
    <w:rsid w:val="00EA109C"/>
    <w:rsid w:val="00EA1DF7"/>
    <w:rsid w:val="00EA1FCD"/>
    <w:rsid w:val="00EA21DB"/>
    <w:rsid w:val="00EA4A54"/>
    <w:rsid w:val="00EA5479"/>
    <w:rsid w:val="00EA6CC1"/>
    <w:rsid w:val="00EA7B13"/>
    <w:rsid w:val="00EA7CF3"/>
    <w:rsid w:val="00EB020E"/>
    <w:rsid w:val="00EB0280"/>
    <w:rsid w:val="00EB0615"/>
    <w:rsid w:val="00EB0A1E"/>
    <w:rsid w:val="00EB185C"/>
    <w:rsid w:val="00EB1BE0"/>
    <w:rsid w:val="00EB2806"/>
    <w:rsid w:val="00EB2A4B"/>
    <w:rsid w:val="00EB2AFD"/>
    <w:rsid w:val="00EB2CC7"/>
    <w:rsid w:val="00EB3456"/>
    <w:rsid w:val="00EB36B7"/>
    <w:rsid w:val="00EB3926"/>
    <w:rsid w:val="00EB3B72"/>
    <w:rsid w:val="00EB431C"/>
    <w:rsid w:val="00EB4D67"/>
    <w:rsid w:val="00EB5AE5"/>
    <w:rsid w:val="00EB61C2"/>
    <w:rsid w:val="00EB61EC"/>
    <w:rsid w:val="00EB6833"/>
    <w:rsid w:val="00EB7841"/>
    <w:rsid w:val="00EB7876"/>
    <w:rsid w:val="00EB7BC1"/>
    <w:rsid w:val="00EB7EAF"/>
    <w:rsid w:val="00EB7EDB"/>
    <w:rsid w:val="00EC004C"/>
    <w:rsid w:val="00EC00A4"/>
    <w:rsid w:val="00EC04A6"/>
    <w:rsid w:val="00EC1034"/>
    <w:rsid w:val="00EC1A4C"/>
    <w:rsid w:val="00EC1A64"/>
    <w:rsid w:val="00EC1C67"/>
    <w:rsid w:val="00EC246F"/>
    <w:rsid w:val="00EC28B6"/>
    <w:rsid w:val="00EC2F53"/>
    <w:rsid w:val="00EC3405"/>
    <w:rsid w:val="00EC36CA"/>
    <w:rsid w:val="00EC4757"/>
    <w:rsid w:val="00EC506E"/>
    <w:rsid w:val="00EC5071"/>
    <w:rsid w:val="00EC50F2"/>
    <w:rsid w:val="00EC5B70"/>
    <w:rsid w:val="00EC5BFF"/>
    <w:rsid w:val="00EC61DD"/>
    <w:rsid w:val="00EC685C"/>
    <w:rsid w:val="00EC7052"/>
    <w:rsid w:val="00EC748B"/>
    <w:rsid w:val="00EC778F"/>
    <w:rsid w:val="00EC7B0C"/>
    <w:rsid w:val="00EC7B8F"/>
    <w:rsid w:val="00EC7EE1"/>
    <w:rsid w:val="00ED0451"/>
    <w:rsid w:val="00ED0828"/>
    <w:rsid w:val="00ED0950"/>
    <w:rsid w:val="00ED0F0B"/>
    <w:rsid w:val="00ED0FF8"/>
    <w:rsid w:val="00ED115C"/>
    <w:rsid w:val="00ED1399"/>
    <w:rsid w:val="00ED1626"/>
    <w:rsid w:val="00ED167A"/>
    <w:rsid w:val="00ED1AD4"/>
    <w:rsid w:val="00ED1BE6"/>
    <w:rsid w:val="00ED26DC"/>
    <w:rsid w:val="00ED2BC8"/>
    <w:rsid w:val="00ED2FE6"/>
    <w:rsid w:val="00ED353E"/>
    <w:rsid w:val="00ED3BF8"/>
    <w:rsid w:val="00ED3CA3"/>
    <w:rsid w:val="00ED3E05"/>
    <w:rsid w:val="00ED4866"/>
    <w:rsid w:val="00ED4F6F"/>
    <w:rsid w:val="00ED5E39"/>
    <w:rsid w:val="00ED6019"/>
    <w:rsid w:val="00ED61F5"/>
    <w:rsid w:val="00ED61FB"/>
    <w:rsid w:val="00ED65CA"/>
    <w:rsid w:val="00ED67FD"/>
    <w:rsid w:val="00ED6C6D"/>
    <w:rsid w:val="00ED6D35"/>
    <w:rsid w:val="00ED6DFC"/>
    <w:rsid w:val="00ED6EF2"/>
    <w:rsid w:val="00ED71E1"/>
    <w:rsid w:val="00ED7639"/>
    <w:rsid w:val="00ED7ADB"/>
    <w:rsid w:val="00ED7EC8"/>
    <w:rsid w:val="00EE006C"/>
    <w:rsid w:val="00EE038A"/>
    <w:rsid w:val="00EE0720"/>
    <w:rsid w:val="00EE07B3"/>
    <w:rsid w:val="00EE1BA2"/>
    <w:rsid w:val="00EE1E36"/>
    <w:rsid w:val="00EE2170"/>
    <w:rsid w:val="00EE21F8"/>
    <w:rsid w:val="00EE2D65"/>
    <w:rsid w:val="00EE31B9"/>
    <w:rsid w:val="00EE31D2"/>
    <w:rsid w:val="00EE333B"/>
    <w:rsid w:val="00EE3DD1"/>
    <w:rsid w:val="00EE40C3"/>
    <w:rsid w:val="00EE4320"/>
    <w:rsid w:val="00EE4496"/>
    <w:rsid w:val="00EE47EE"/>
    <w:rsid w:val="00EE4883"/>
    <w:rsid w:val="00EE4B33"/>
    <w:rsid w:val="00EE516D"/>
    <w:rsid w:val="00EE57C6"/>
    <w:rsid w:val="00EE5C91"/>
    <w:rsid w:val="00EE6062"/>
    <w:rsid w:val="00EE62A6"/>
    <w:rsid w:val="00EE64D3"/>
    <w:rsid w:val="00EE659E"/>
    <w:rsid w:val="00EE66D6"/>
    <w:rsid w:val="00EE697E"/>
    <w:rsid w:val="00EE7013"/>
    <w:rsid w:val="00EE7520"/>
    <w:rsid w:val="00EE7DF2"/>
    <w:rsid w:val="00EF031E"/>
    <w:rsid w:val="00EF090B"/>
    <w:rsid w:val="00EF0975"/>
    <w:rsid w:val="00EF0BB4"/>
    <w:rsid w:val="00EF0CBD"/>
    <w:rsid w:val="00EF0E5B"/>
    <w:rsid w:val="00EF0EB3"/>
    <w:rsid w:val="00EF11CE"/>
    <w:rsid w:val="00EF156A"/>
    <w:rsid w:val="00EF1716"/>
    <w:rsid w:val="00EF1E9E"/>
    <w:rsid w:val="00EF239F"/>
    <w:rsid w:val="00EF285E"/>
    <w:rsid w:val="00EF2B51"/>
    <w:rsid w:val="00EF2CA0"/>
    <w:rsid w:val="00EF3318"/>
    <w:rsid w:val="00EF36DE"/>
    <w:rsid w:val="00EF3B8F"/>
    <w:rsid w:val="00EF42B7"/>
    <w:rsid w:val="00EF47DF"/>
    <w:rsid w:val="00EF4DBA"/>
    <w:rsid w:val="00EF4F41"/>
    <w:rsid w:val="00EF514B"/>
    <w:rsid w:val="00EF5447"/>
    <w:rsid w:val="00EF5F57"/>
    <w:rsid w:val="00EF65B5"/>
    <w:rsid w:val="00EF66A1"/>
    <w:rsid w:val="00EF66B2"/>
    <w:rsid w:val="00EF6D69"/>
    <w:rsid w:val="00EF6DB8"/>
    <w:rsid w:val="00EF6EC5"/>
    <w:rsid w:val="00EF7372"/>
    <w:rsid w:val="00EF74ED"/>
    <w:rsid w:val="00EF76E2"/>
    <w:rsid w:val="00EF7C90"/>
    <w:rsid w:val="00F00685"/>
    <w:rsid w:val="00F00D93"/>
    <w:rsid w:val="00F015E8"/>
    <w:rsid w:val="00F01657"/>
    <w:rsid w:val="00F02100"/>
    <w:rsid w:val="00F02355"/>
    <w:rsid w:val="00F029FF"/>
    <w:rsid w:val="00F02AAD"/>
    <w:rsid w:val="00F02C74"/>
    <w:rsid w:val="00F02D8B"/>
    <w:rsid w:val="00F02FA5"/>
    <w:rsid w:val="00F0346F"/>
    <w:rsid w:val="00F03D80"/>
    <w:rsid w:val="00F04966"/>
    <w:rsid w:val="00F049EC"/>
    <w:rsid w:val="00F04C67"/>
    <w:rsid w:val="00F04D63"/>
    <w:rsid w:val="00F053A8"/>
    <w:rsid w:val="00F05DB4"/>
    <w:rsid w:val="00F05F9A"/>
    <w:rsid w:val="00F0610A"/>
    <w:rsid w:val="00F06111"/>
    <w:rsid w:val="00F06431"/>
    <w:rsid w:val="00F066AD"/>
    <w:rsid w:val="00F0711B"/>
    <w:rsid w:val="00F0735E"/>
    <w:rsid w:val="00F0753F"/>
    <w:rsid w:val="00F07E23"/>
    <w:rsid w:val="00F10336"/>
    <w:rsid w:val="00F107A8"/>
    <w:rsid w:val="00F10829"/>
    <w:rsid w:val="00F10F91"/>
    <w:rsid w:val="00F117FE"/>
    <w:rsid w:val="00F11E5E"/>
    <w:rsid w:val="00F122B0"/>
    <w:rsid w:val="00F1266B"/>
    <w:rsid w:val="00F12725"/>
    <w:rsid w:val="00F129A0"/>
    <w:rsid w:val="00F1326B"/>
    <w:rsid w:val="00F132FD"/>
    <w:rsid w:val="00F13CC8"/>
    <w:rsid w:val="00F13E98"/>
    <w:rsid w:val="00F13F27"/>
    <w:rsid w:val="00F14C7C"/>
    <w:rsid w:val="00F14D62"/>
    <w:rsid w:val="00F14DB5"/>
    <w:rsid w:val="00F14F3E"/>
    <w:rsid w:val="00F15CE3"/>
    <w:rsid w:val="00F1608D"/>
    <w:rsid w:val="00F164AC"/>
    <w:rsid w:val="00F168A6"/>
    <w:rsid w:val="00F16C15"/>
    <w:rsid w:val="00F170C1"/>
    <w:rsid w:val="00F1717C"/>
    <w:rsid w:val="00F1726E"/>
    <w:rsid w:val="00F175FC"/>
    <w:rsid w:val="00F178FF"/>
    <w:rsid w:val="00F1790A"/>
    <w:rsid w:val="00F17938"/>
    <w:rsid w:val="00F17E33"/>
    <w:rsid w:val="00F201A7"/>
    <w:rsid w:val="00F2027E"/>
    <w:rsid w:val="00F20610"/>
    <w:rsid w:val="00F209BE"/>
    <w:rsid w:val="00F209F8"/>
    <w:rsid w:val="00F20EA9"/>
    <w:rsid w:val="00F21980"/>
    <w:rsid w:val="00F21DD8"/>
    <w:rsid w:val="00F22C5F"/>
    <w:rsid w:val="00F22F58"/>
    <w:rsid w:val="00F23C23"/>
    <w:rsid w:val="00F23F40"/>
    <w:rsid w:val="00F240F0"/>
    <w:rsid w:val="00F24C06"/>
    <w:rsid w:val="00F24FBF"/>
    <w:rsid w:val="00F25167"/>
    <w:rsid w:val="00F25225"/>
    <w:rsid w:val="00F253CC"/>
    <w:rsid w:val="00F254C2"/>
    <w:rsid w:val="00F2564C"/>
    <w:rsid w:val="00F25674"/>
    <w:rsid w:val="00F25D39"/>
    <w:rsid w:val="00F25EA6"/>
    <w:rsid w:val="00F25EAC"/>
    <w:rsid w:val="00F2648D"/>
    <w:rsid w:val="00F26837"/>
    <w:rsid w:val="00F26BA2"/>
    <w:rsid w:val="00F27B9D"/>
    <w:rsid w:val="00F27CFF"/>
    <w:rsid w:val="00F27DD3"/>
    <w:rsid w:val="00F27F0E"/>
    <w:rsid w:val="00F300C0"/>
    <w:rsid w:val="00F314D8"/>
    <w:rsid w:val="00F31782"/>
    <w:rsid w:val="00F31E5E"/>
    <w:rsid w:val="00F32AA3"/>
    <w:rsid w:val="00F32ED8"/>
    <w:rsid w:val="00F330CB"/>
    <w:rsid w:val="00F33100"/>
    <w:rsid w:val="00F333CF"/>
    <w:rsid w:val="00F33560"/>
    <w:rsid w:val="00F338E9"/>
    <w:rsid w:val="00F33C0B"/>
    <w:rsid w:val="00F34243"/>
    <w:rsid w:val="00F3462B"/>
    <w:rsid w:val="00F350E6"/>
    <w:rsid w:val="00F36029"/>
    <w:rsid w:val="00F360CA"/>
    <w:rsid w:val="00F3655F"/>
    <w:rsid w:val="00F3670C"/>
    <w:rsid w:val="00F37012"/>
    <w:rsid w:val="00F37111"/>
    <w:rsid w:val="00F3794A"/>
    <w:rsid w:val="00F37B04"/>
    <w:rsid w:val="00F37B4F"/>
    <w:rsid w:val="00F37BFF"/>
    <w:rsid w:val="00F37CE1"/>
    <w:rsid w:val="00F404FA"/>
    <w:rsid w:val="00F4072A"/>
    <w:rsid w:val="00F4082F"/>
    <w:rsid w:val="00F40A82"/>
    <w:rsid w:val="00F40E55"/>
    <w:rsid w:val="00F41176"/>
    <w:rsid w:val="00F413A9"/>
    <w:rsid w:val="00F4199F"/>
    <w:rsid w:val="00F41F5F"/>
    <w:rsid w:val="00F4248B"/>
    <w:rsid w:val="00F426D8"/>
    <w:rsid w:val="00F4273C"/>
    <w:rsid w:val="00F4293F"/>
    <w:rsid w:val="00F42F80"/>
    <w:rsid w:val="00F437F0"/>
    <w:rsid w:val="00F43897"/>
    <w:rsid w:val="00F447D8"/>
    <w:rsid w:val="00F4488E"/>
    <w:rsid w:val="00F44AB9"/>
    <w:rsid w:val="00F4518A"/>
    <w:rsid w:val="00F453EC"/>
    <w:rsid w:val="00F453F9"/>
    <w:rsid w:val="00F459CE"/>
    <w:rsid w:val="00F459E4"/>
    <w:rsid w:val="00F477BE"/>
    <w:rsid w:val="00F47C5D"/>
    <w:rsid w:val="00F47CEA"/>
    <w:rsid w:val="00F47D50"/>
    <w:rsid w:val="00F51366"/>
    <w:rsid w:val="00F522B7"/>
    <w:rsid w:val="00F526FD"/>
    <w:rsid w:val="00F52C69"/>
    <w:rsid w:val="00F53A7E"/>
    <w:rsid w:val="00F540BE"/>
    <w:rsid w:val="00F54452"/>
    <w:rsid w:val="00F54552"/>
    <w:rsid w:val="00F54DAC"/>
    <w:rsid w:val="00F55414"/>
    <w:rsid w:val="00F554CF"/>
    <w:rsid w:val="00F55DDD"/>
    <w:rsid w:val="00F55F38"/>
    <w:rsid w:val="00F55F99"/>
    <w:rsid w:val="00F56213"/>
    <w:rsid w:val="00F56220"/>
    <w:rsid w:val="00F5639F"/>
    <w:rsid w:val="00F563A6"/>
    <w:rsid w:val="00F569AC"/>
    <w:rsid w:val="00F56F46"/>
    <w:rsid w:val="00F573FD"/>
    <w:rsid w:val="00F57468"/>
    <w:rsid w:val="00F57F01"/>
    <w:rsid w:val="00F60609"/>
    <w:rsid w:val="00F60CCC"/>
    <w:rsid w:val="00F610E4"/>
    <w:rsid w:val="00F61CB3"/>
    <w:rsid w:val="00F61DF5"/>
    <w:rsid w:val="00F621D0"/>
    <w:rsid w:val="00F6234E"/>
    <w:rsid w:val="00F62449"/>
    <w:rsid w:val="00F62519"/>
    <w:rsid w:val="00F62B91"/>
    <w:rsid w:val="00F63560"/>
    <w:rsid w:val="00F649B0"/>
    <w:rsid w:val="00F64A11"/>
    <w:rsid w:val="00F64E24"/>
    <w:rsid w:val="00F64FB7"/>
    <w:rsid w:val="00F64FD2"/>
    <w:rsid w:val="00F6516C"/>
    <w:rsid w:val="00F65798"/>
    <w:rsid w:val="00F65872"/>
    <w:rsid w:val="00F661B7"/>
    <w:rsid w:val="00F662C8"/>
    <w:rsid w:val="00F664CA"/>
    <w:rsid w:val="00F66877"/>
    <w:rsid w:val="00F67163"/>
    <w:rsid w:val="00F6756B"/>
    <w:rsid w:val="00F6759B"/>
    <w:rsid w:val="00F676DA"/>
    <w:rsid w:val="00F700F4"/>
    <w:rsid w:val="00F7053E"/>
    <w:rsid w:val="00F70713"/>
    <w:rsid w:val="00F70ADC"/>
    <w:rsid w:val="00F70EDB"/>
    <w:rsid w:val="00F71310"/>
    <w:rsid w:val="00F71686"/>
    <w:rsid w:val="00F71C39"/>
    <w:rsid w:val="00F71D1F"/>
    <w:rsid w:val="00F71E72"/>
    <w:rsid w:val="00F72604"/>
    <w:rsid w:val="00F7277B"/>
    <w:rsid w:val="00F72AEE"/>
    <w:rsid w:val="00F72B10"/>
    <w:rsid w:val="00F732A2"/>
    <w:rsid w:val="00F738D2"/>
    <w:rsid w:val="00F73A79"/>
    <w:rsid w:val="00F73AC0"/>
    <w:rsid w:val="00F73E43"/>
    <w:rsid w:val="00F74031"/>
    <w:rsid w:val="00F7439C"/>
    <w:rsid w:val="00F7443C"/>
    <w:rsid w:val="00F74D6D"/>
    <w:rsid w:val="00F7504F"/>
    <w:rsid w:val="00F75454"/>
    <w:rsid w:val="00F75DB3"/>
    <w:rsid w:val="00F75DF8"/>
    <w:rsid w:val="00F75FA8"/>
    <w:rsid w:val="00F76029"/>
    <w:rsid w:val="00F768C4"/>
    <w:rsid w:val="00F76C6E"/>
    <w:rsid w:val="00F76EC7"/>
    <w:rsid w:val="00F76EEE"/>
    <w:rsid w:val="00F76FAE"/>
    <w:rsid w:val="00F77EB1"/>
    <w:rsid w:val="00F801F1"/>
    <w:rsid w:val="00F81165"/>
    <w:rsid w:val="00F81702"/>
    <w:rsid w:val="00F8195D"/>
    <w:rsid w:val="00F81BC7"/>
    <w:rsid w:val="00F81E1C"/>
    <w:rsid w:val="00F820F5"/>
    <w:rsid w:val="00F8241D"/>
    <w:rsid w:val="00F826DC"/>
    <w:rsid w:val="00F82AC7"/>
    <w:rsid w:val="00F82F56"/>
    <w:rsid w:val="00F83014"/>
    <w:rsid w:val="00F83512"/>
    <w:rsid w:val="00F84434"/>
    <w:rsid w:val="00F84734"/>
    <w:rsid w:val="00F84833"/>
    <w:rsid w:val="00F849A5"/>
    <w:rsid w:val="00F84AFA"/>
    <w:rsid w:val="00F85081"/>
    <w:rsid w:val="00F85BE9"/>
    <w:rsid w:val="00F85C82"/>
    <w:rsid w:val="00F86BD0"/>
    <w:rsid w:val="00F86CB5"/>
    <w:rsid w:val="00F870E2"/>
    <w:rsid w:val="00F87338"/>
    <w:rsid w:val="00F87ACF"/>
    <w:rsid w:val="00F905CD"/>
    <w:rsid w:val="00F90CB8"/>
    <w:rsid w:val="00F90DCB"/>
    <w:rsid w:val="00F9106F"/>
    <w:rsid w:val="00F916E5"/>
    <w:rsid w:val="00F91F72"/>
    <w:rsid w:val="00F928BF"/>
    <w:rsid w:val="00F92F5A"/>
    <w:rsid w:val="00F93073"/>
    <w:rsid w:val="00F9313D"/>
    <w:rsid w:val="00F934DC"/>
    <w:rsid w:val="00F93C11"/>
    <w:rsid w:val="00F94488"/>
    <w:rsid w:val="00F94737"/>
    <w:rsid w:val="00F94B4C"/>
    <w:rsid w:val="00F94D81"/>
    <w:rsid w:val="00F94EBA"/>
    <w:rsid w:val="00F94F71"/>
    <w:rsid w:val="00F95198"/>
    <w:rsid w:val="00F95279"/>
    <w:rsid w:val="00F9603F"/>
    <w:rsid w:val="00F96C87"/>
    <w:rsid w:val="00F96E15"/>
    <w:rsid w:val="00F96EE8"/>
    <w:rsid w:val="00F971D2"/>
    <w:rsid w:val="00F979BF"/>
    <w:rsid w:val="00F97C77"/>
    <w:rsid w:val="00F97D54"/>
    <w:rsid w:val="00FA0152"/>
    <w:rsid w:val="00FA084A"/>
    <w:rsid w:val="00FA0C6F"/>
    <w:rsid w:val="00FA17E2"/>
    <w:rsid w:val="00FA1AEF"/>
    <w:rsid w:val="00FA273A"/>
    <w:rsid w:val="00FA28B6"/>
    <w:rsid w:val="00FA321A"/>
    <w:rsid w:val="00FA32ED"/>
    <w:rsid w:val="00FA3B7F"/>
    <w:rsid w:val="00FA44EC"/>
    <w:rsid w:val="00FA46FE"/>
    <w:rsid w:val="00FA48EA"/>
    <w:rsid w:val="00FA51C9"/>
    <w:rsid w:val="00FA539A"/>
    <w:rsid w:val="00FA6228"/>
    <w:rsid w:val="00FA6944"/>
    <w:rsid w:val="00FA6EF7"/>
    <w:rsid w:val="00FA7082"/>
    <w:rsid w:val="00FA7747"/>
    <w:rsid w:val="00FA7C57"/>
    <w:rsid w:val="00FA7D61"/>
    <w:rsid w:val="00FB01FE"/>
    <w:rsid w:val="00FB0CF4"/>
    <w:rsid w:val="00FB0F02"/>
    <w:rsid w:val="00FB13BB"/>
    <w:rsid w:val="00FB19C3"/>
    <w:rsid w:val="00FB2423"/>
    <w:rsid w:val="00FB26A8"/>
    <w:rsid w:val="00FB32CF"/>
    <w:rsid w:val="00FB3954"/>
    <w:rsid w:val="00FB3B56"/>
    <w:rsid w:val="00FB3C00"/>
    <w:rsid w:val="00FB3E3C"/>
    <w:rsid w:val="00FB410B"/>
    <w:rsid w:val="00FB4914"/>
    <w:rsid w:val="00FB4A11"/>
    <w:rsid w:val="00FB51EA"/>
    <w:rsid w:val="00FB5407"/>
    <w:rsid w:val="00FB5442"/>
    <w:rsid w:val="00FB5611"/>
    <w:rsid w:val="00FB5675"/>
    <w:rsid w:val="00FB567A"/>
    <w:rsid w:val="00FB5908"/>
    <w:rsid w:val="00FB5CC6"/>
    <w:rsid w:val="00FB60E4"/>
    <w:rsid w:val="00FB6225"/>
    <w:rsid w:val="00FB679E"/>
    <w:rsid w:val="00FB6AFE"/>
    <w:rsid w:val="00FB6B3B"/>
    <w:rsid w:val="00FB7900"/>
    <w:rsid w:val="00FB7C4C"/>
    <w:rsid w:val="00FC0661"/>
    <w:rsid w:val="00FC092D"/>
    <w:rsid w:val="00FC1144"/>
    <w:rsid w:val="00FC11E6"/>
    <w:rsid w:val="00FC1245"/>
    <w:rsid w:val="00FC1FD6"/>
    <w:rsid w:val="00FC1FF7"/>
    <w:rsid w:val="00FC2220"/>
    <w:rsid w:val="00FC425A"/>
    <w:rsid w:val="00FC426F"/>
    <w:rsid w:val="00FC4840"/>
    <w:rsid w:val="00FC4A10"/>
    <w:rsid w:val="00FC4D17"/>
    <w:rsid w:val="00FC4FED"/>
    <w:rsid w:val="00FC51BE"/>
    <w:rsid w:val="00FC5517"/>
    <w:rsid w:val="00FC65E1"/>
    <w:rsid w:val="00FC6876"/>
    <w:rsid w:val="00FC7C85"/>
    <w:rsid w:val="00FD0038"/>
    <w:rsid w:val="00FD0573"/>
    <w:rsid w:val="00FD0A96"/>
    <w:rsid w:val="00FD0B61"/>
    <w:rsid w:val="00FD0E7A"/>
    <w:rsid w:val="00FD11A6"/>
    <w:rsid w:val="00FD1264"/>
    <w:rsid w:val="00FD272C"/>
    <w:rsid w:val="00FD2EFD"/>
    <w:rsid w:val="00FD3000"/>
    <w:rsid w:val="00FD331E"/>
    <w:rsid w:val="00FD340E"/>
    <w:rsid w:val="00FD34A3"/>
    <w:rsid w:val="00FD37F4"/>
    <w:rsid w:val="00FD3F26"/>
    <w:rsid w:val="00FD40A7"/>
    <w:rsid w:val="00FD436F"/>
    <w:rsid w:val="00FD438A"/>
    <w:rsid w:val="00FD4E52"/>
    <w:rsid w:val="00FD5449"/>
    <w:rsid w:val="00FD56C3"/>
    <w:rsid w:val="00FD5CBD"/>
    <w:rsid w:val="00FD6BB3"/>
    <w:rsid w:val="00FD6D42"/>
    <w:rsid w:val="00FD7806"/>
    <w:rsid w:val="00FD7A61"/>
    <w:rsid w:val="00FE0CC1"/>
    <w:rsid w:val="00FE0E58"/>
    <w:rsid w:val="00FE1047"/>
    <w:rsid w:val="00FE1702"/>
    <w:rsid w:val="00FE20A5"/>
    <w:rsid w:val="00FE2322"/>
    <w:rsid w:val="00FE2801"/>
    <w:rsid w:val="00FE2A37"/>
    <w:rsid w:val="00FE36D8"/>
    <w:rsid w:val="00FE3B6E"/>
    <w:rsid w:val="00FE3EE3"/>
    <w:rsid w:val="00FE4F72"/>
    <w:rsid w:val="00FE5612"/>
    <w:rsid w:val="00FE5DB5"/>
    <w:rsid w:val="00FE6339"/>
    <w:rsid w:val="00FE6930"/>
    <w:rsid w:val="00FE765E"/>
    <w:rsid w:val="00FE7954"/>
    <w:rsid w:val="00FF04F3"/>
    <w:rsid w:val="00FF07A2"/>
    <w:rsid w:val="00FF0AB1"/>
    <w:rsid w:val="00FF1007"/>
    <w:rsid w:val="00FF107F"/>
    <w:rsid w:val="00FF1785"/>
    <w:rsid w:val="00FF1B50"/>
    <w:rsid w:val="00FF1F7E"/>
    <w:rsid w:val="00FF218B"/>
    <w:rsid w:val="00FF21E1"/>
    <w:rsid w:val="00FF25D6"/>
    <w:rsid w:val="00FF26D2"/>
    <w:rsid w:val="00FF281F"/>
    <w:rsid w:val="00FF2A29"/>
    <w:rsid w:val="00FF38F3"/>
    <w:rsid w:val="00FF3FE3"/>
    <w:rsid w:val="00FF4887"/>
    <w:rsid w:val="00FF4A03"/>
    <w:rsid w:val="00FF511A"/>
    <w:rsid w:val="00FF5B0B"/>
    <w:rsid w:val="00FF5B45"/>
    <w:rsid w:val="00FF6754"/>
    <w:rsid w:val="00FF70CB"/>
    <w:rsid w:val="00FF7923"/>
    <w:rsid w:val="00FF7926"/>
    <w:rsid w:val="0AD6C2AD"/>
    <w:rsid w:val="10D64016"/>
    <w:rsid w:val="173D623E"/>
    <w:rsid w:val="1A672228"/>
    <w:rsid w:val="1E6D103F"/>
    <w:rsid w:val="25D27798"/>
    <w:rsid w:val="280F99AD"/>
    <w:rsid w:val="2D6B1008"/>
    <w:rsid w:val="3265DF6F"/>
    <w:rsid w:val="371FA045"/>
    <w:rsid w:val="384FA820"/>
    <w:rsid w:val="38918D84"/>
    <w:rsid w:val="41E1DDFA"/>
    <w:rsid w:val="59D66AD7"/>
    <w:rsid w:val="5D2AD84B"/>
    <w:rsid w:val="61AC0691"/>
    <w:rsid w:val="74304325"/>
    <w:rsid w:val="7FA43D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0B89"/>
  <w15:chartTrackingRefBased/>
  <w15:docId w15:val="{7872FB39-1E4F-4AD9-944B-1248F3B3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aliases w:val="h2,h2 main heading,B Sub/Bold,Activity,A.B.C.,Level I for #'s,hoofd 2,Heading2-bio,Career Exp.,Heading 2 main heading,H2,Heading 2 main heading Char,h2 main heading Char,B Sub/Bold Char,Activity Char,h2 Char,A.B.C. Char,H2 Char,h"/>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aliases w:val="Activity head,h3,Mi,H3,h3 sub heading,C Sub-Sub/Italic,Level 1 - 2,Level 1 - 1,Normal Numbered,VS3,Para3,Head 3,Head 31,Head 32,C Sub-Sub/Italic1,3m,Heading 3 Sub Heading,3 bullet,Char,level 1 - 2,2,Normal + num,not in TOC,(a),a,paragraph"/>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paragraph" w:styleId="Heading7">
    <w:name w:val="heading 7"/>
    <w:basedOn w:val="Normal"/>
    <w:next w:val="Normal"/>
    <w:link w:val="Heading7Char"/>
    <w:uiPriority w:val="9"/>
    <w:unhideWhenUsed/>
    <w:qFormat/>
    <w:rsid w:val="00DA48B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47"/>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44"/>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link w:val="DashChar"/>
    <w:qFormat/>
    <w:rsid w:val="00F22F58"/>
    <w:pPr>
      <w:numPr>
        <w:ilvl w:val="1"/>
        <w:numId w:val="23"/>
      </w:numPr>
      <w:tabs>
        <w:tab w:val="num" w:pos="1560"/>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tabs>
        <w:tab w:val="num" w:pos="360"/>
      </w:tabs>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aliases w:val="h2 Char1,h2 main heading Char1,B Sub/Bold Char1,Activity Char1,A.B.C. Char1,Level I for #'s Char,hoofd 2 Char,Heading2-bio Char,Career Exp. Char,Heading 2 main heading Char1,H2 Char1,Heading 2 main heading Char Char,B Sub/Bold Char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aliases w:val="Activity head Char,h3 Char,Mi Char,H3 Char,h3 sub heading Char,C Sub-Sub/Italic Char,Level 1 - 2 Char,Level 1 - 1 Char,Normal Numbered Char,VS3 Char,Para3 Char,Head 3 Char,Head 31 Char,Head 32 Char,C Sub-Sub/Italic1 Char,3m Char,Char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47"/>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link w:val="TabletextChar"/>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uiPriority w:val="39"/>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aliases w:val="b,b + line,b1,Body,level 1,Bullet + line,BodyNum,Bullet Char1,Bullet Char1 Char Char Char,Bullet Char1 Char Char Char Char,Bullet Char1 Char Char Char Char Char,b1 Char Char Char,bulleted"/>
    <w:basedOn w:val="Normal"/>
    <w:link w:val="BulletChar"/>
    <w:rsid w:val="0027000D"/>
    <w:pPr>
      <w:numPr>
        <w:numId w:val="23"/>
      </w:numPr>
      <w:tabs>
        <w:tab w:val="left" w:pos="720"/>
        <w:tab w:val="num" w:pos="1040"/>
      </w:tabs>
    </w:pPr>
    <w:rPr>
      <w:rFonts w:eastAsia="Calibri"/>
      <w:color w:val="2F5496" w:themeColor="accent1" w:themeShade="BF"/>
      <w:lang w:eastAsia="en-GB"/>
    </w:rPr>
  </w:style>
  <w:style w:type="character" w:customStyle="1" w:styleId="BulletChar">
    <w:name w:val="Bullet Char"/>
    <w:aliases w:val="b Char,b + line Char Char,b Char Char,b1 Char,b + line Char,Body Char,L Char,List Paragraph Char,List Paragraph1 Char,List Paragraph11 Char,Number Char,Recommendation Char,level 1 Char,Bullet + line Char,List Paragraph2 Char,Bullets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link w:val="DoubleDotChar"/>
    <w:qFormat/>
    <w:rsid w:val="0027000D"/>
    <w:pPr>
      <w:numPr>
        <w:ilvl w:val="2"/>
        <w:numId w:val="23"/>
      </w:numPr>
      <w:tabs>
        <w:tab w:val="left" w:pos="720"/>
      </w:tabs>
    </w:pPr>
    <w:rPr>
      <w:rFonts w:eastAsia="Calibri"/>
      <w:color w:val="2F5496" w:themeColor="accent1" w:themeShade="BF"/>
      <w:lang w:eastAsia="en-GB"/>
    </w:rPr>
  </w:style>
  <w:style w:type="character" w:styleId="CommentReference">
    <w:name w:val="annotation reference"/>
    <w:basedOn w:val="DefaultParagraphFont"/>
    <w:uiPriority w:val="99"/>
    <w:semiHidden/>
    <w:unhideWhenUsed/>
    <w:rsid w:val="00563050"/>
    <w:rPr>
      <w:sz w:val="16"/>
      <w:szCs w:val="16"/>
    </w:rPr>
  </w:style>
  <w:style w:type="paragraph" w:styleId="CommentText">
    <w:name w:val="annotation text"/>
    <w:basedOn w:val="Normal"/>
    <w:link w:val="CommentTextChar"/>
    <w:uiPriority w:val="99"/>
    <w:unhideWhenUsed/>
    <w:rsid w:val="00563050"/>
    <w:rPr>
      <w:sz w:val="20"/>
      <w:szCs w:val="20"/>
    </w:rPr>
  </w:style>
  <w:style w:type="character" w:customStyle="1" w:styleId="CommentTextChar">
    <w:name w:val="Comment Text Char"/>
    <w:basedOn w:val="DefaultParagraphFont"/>
    <w:link w:val="CommentText"/>
    <w:uiPriority w:val="99"/>
    <w:rsid w:val="00563050"/>
    <w:rPr>
      <w:rFonts w:ascii="Times New Roman" w:hAnsi="Times New Roman"/>
      <w:sz w:val="20"/>
      <w:szCs w:val="20"/>
    </w:rPr>
  </w:style>
  <w:style w:type="character" w:styleId="Mention">
    <w:name w:val="Mention"/>
    <w:basedOn w:val="DefaultParagraphFont"/>
    <w:uiPriority w:val="99"/>
    <w:unhideWhenUsed/>
    <w:rsid w:val="00563050"/>
    <w:rPr>
      <w:color w:val="2B579A"/>
      <w:shd w:val="clear" w:color="auto" w:fill="E1DFDD"/>
    </w:rPr>
  </w:style>
  <w:style w:type="character" w:customStyle="1" w:styleId="TabletextChar">
    <w:name w:val="Table text Char"/>
    <w:basedOn w:val="DefaultParagraphFont"/>
    <w:link w:val="Tabletext"/>
    <w:uiPriority w:val="1"/>
    <w:rsid w:val="000641C0"/>
    <w:rPr>
      <w:rFonts w:ascii="Times New Roman" w:eastAsia="Times New Roman" w:hAnsi="Times New Roman" w:cs="Times New Roman"/>
      <w:sz w:val="20"/>
      <w:szCs w:val="20"/>
      <w:lang w:eastAsia="en-AU"/>
    </w:rPr>
  </w:style>
  <w:style w:type="paragraph" w:customStyle="1" w:styleId="dotpoint">
    <w:name w:val="dot point"/>
    <w:basedOn w:val="Normal"/>
    <w:rsid w:val="000641C0"/>
    <w:pPr>
      <w:numPr>
        <w:numId w:val="26"/>
      </w:numPr>
      <w:tabs>
        <w:tab w:val="num" w:pos="1701"/>
      </w:tabs>
    </w:pPr>
    <w:rPr>
      <w:rFonts w:eastAsia="Times New Roman" w:cs="Times New Roman"/>
      <w:szCs w:val="20"/>
      <w:lang w:eastAsia="en-AU"/>
    </w:rPr>
  </w:style>
  <w:style w:type="paragraph" w:customStyle="1" w:styleId="dotpoint2">
    <w:name w:val="dot point 2"/>
    <w:basedOn w:val="Normal"/>
    <w:rsid w:val="000641C0"/>
    <w:pPr>
      <w:numPr>
        <w:ilvl w:val="1"/>
        <w:numId w:val="26"/>
      </w:numPr>
      <w:tabs>
        <w:tab w:val="num" w:pos="2127"/>
      </w:tabs>
    </w:pPr>
    <w:rPr>
      <w:rFonts w:eastAsia="Times New Roman" w:cs="Times New Roman"/>
      <w:szCs w:val="20"/>
      <w:lang w:eastAsia="en-AU"/>
    </w:rPr>
  </w:style>
  <w:style w:type="paragraph" w:customStyle="1" w:styleId="base-text-paragraph">
    <w:name w:val="base-text-paragraph"/>
    <w:link w:val="base-text-paragraphChar"/>
    <w:rsid w:val="000641C0"/>
    <w:pPr>
      <w:numPr>
        <w:numId w:val="28"/>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0641C0"/>
    <w:rPr>
      <w:rFonts w:ascii="Times New Roman" w:eastAsia="Times New Roman" w:hAnsi="Times New Roman" w:cs="Times New Roman"/>
      <w:szCs w:val="20"/>
      <w:lang w:eastAsia="en-AU"/>
    </w:rPr>
  </w:style>
  <w:style w:type="character" w:customStyle="1" w:styleId="ui-provider">
    <w:name w:val="ui-provider"/>
    <w:basedOn w:val="DefaultParagraphFont"/>
    <w:rsid w:val="000641C0"/>
  </w:style>
  <w:style w:type="paragraph" w:styleId="CommentSubject">
    <w:name w:val="annotation subject"/>
    <w:basedOn w:val="CommentText"/>
    <w:next w:val="CommentText"/>
    <w:link w:val="CommentSubjectChar"/>
    <w:uiPriority w:val="99"/>
    <w:semiHidden/>
    <w:unhideWhenUsed/>
    <w:rsid w:val="00F44AB9"/>
    <w:rPr>
      <w:b/>
      <w:bCs/>
    </w:rPr>
  </w:style>
  <w:style w:type="character" w:customStyle="1" w:styleId="CommentSubjectChar">
    <w:name w:val="Comment Subject Char"/>
    <w:basedOn w:val="CommentTextChar"/>
    <w:link w:val="CommentSubject"/>
    <w:uiPriority w:val="99"/>
    <w:semiHidden/>
    <w:rsid w:val="00F44AB9"/>
    <w:rPr>
      <w:rFonts w:ascii="Times New Roman" w:hAnsi="Times New Roman"/>
      <w:b/>
      <w:bCs/>
      <w:sz w:val="20"/>
      <w:szCs w:val="20"/>
    </w:rPr>
  </w:style>
  <w:style w:type="paragraph" w:customStyle="1" w:styleId="paragraphsub">
    <w:name w:val="paragraph(sub)"/>
    <w:aliases w:val="aa"/>
    <w:basedOn w:val="Normal"/>
    <w:rsid w:val="0066207A"/>
    <w:pPr>
      <w:tabs>
        <w:tab w:val="right" w:pos="1985"/>
      </w:tabs>
      <w:spacing w:before="40" w:after="0"/>
      <w:ind w:left="2098" w:hanging="2098"/>
    </w:pPr>
    <w:rPr>
      <w:rFonts w:eastAsia="Times New Roman" w:cs="Times New Roman"/>
      <w:szCs w:val="20"/>
      <w:lang w:eastAsia="en-AU"/>
    </w:rPr>
  </w:style>
  <w:style w:type="character" w:customStyle="1" w:styleId="paragraphChar">
    <w:name w:val="paragraph Char"/>
    <w:aliases w:val="a Char"/>
    <w:rsid w:val="0066207A"/>
    <w:rPr>
      <w:rFonts w:eastAsia="Times New Roman" w:cs="Times New Roman"/>
      <w:sz w:val="22"/>
      <w:lang w:eastAsia="en-AU"/>
    </w:rPr>
  </w:style>
  <w:style w:type="paragraph" w:customStyle="1" w:styleId="Definition">
    <w:name w:val="Definition"/>
    <w:aliases w:val="dd"/>
    <w:basedOn w:val="Normal"/>
    <w:rsid w:val="000378F8"/>
    <w:pPr>
      <w:spacing w:before="180" w:after="0"/>
      <w:ind w:left="1134"/>
    </w:pPr>
    <w:rPr>
      <w:rFonts w:eastAsia="Times New Roman" w:cs="Times New Roman"/>
      <w:szCs w:val="20"/>
      <w:lang w:eastAsia="en-AU"/>
    </w:rPr>
  </w:style>
  <w:style w:type="paragraph" w:customStyle="1" w:styleId="notedraft">
    <w:name w:val="note(draft)"/>
    <w:aliases w:val="nd"/>
    <w:basedOn w:val="Normal"/>
    <w:rsid w:val="000310D1"/>
    <w:pPr>
      <w:spacing w:before="240" w:after="0"/>
      <w:ind w:left="284" w:hanging="284"/>
    </w:pPr>
    <w:rPr>
      <w:rFonts w:eastAsia="Times New Roman" w:cs="Times New Roman"/>
      <w:i/>
      <w:sz w:val="24"/>
      <w:szCs w:val="20"/>
      <w:lang w:eastAsia="en-AU"/>
    </w:rPr>
  </w:style>
  <w:style w:type="paragraph" w:customStyle="1" w:styleId="subsection">
    <w:name w:val="subsection"/>
    <w:aliases w:val="ss"/>
    <w:basedOn w:val="Normal"/>
    <w:link w:val="subsectionChar"/>
    <w:rsid w:val="006E42A3"/>
    <w:pPr>
      <w:tabs>
        <w:tab w:val="right" w:pos="1021"/>
      </w:tabs>
      <w:spacing w:before="180" w:after="0"/>
      <w:ind w:left="1134" w:hanging="1134"/>
    </w:pPr>
    <w:rPr>
      <w:rFonts w:eastAsia="Times New Roman" w:cs="Times New Roman"/>
      <w:szCs w:val="20"/>
      <w:lang w:eastAsia="en-AU"/>
    </w:rPr>
  </w:style>
  <w:style w:type="paragraph" w:styleId="ListNumber3">
    <w:name w:val="List Number 3"/>
    <w:basedOn w:val="Normal"/>
    <w:uiPriority w:val="99"/>
    <w:semiHidden/>
    <w:unhideWhenUsed/>
    <w:rsid w:val="006E42A3"/>
    <w:pPr>
      <w:numPr>
        <w:numId w:val="30"/>
      </w:numPr>
      <w:spacing w:before="0" w:after="0" w:line="260" w:lineRule="atLeast"/>
      <w:contextualSpacing/>
    </w:pPr>
    <w:rPr>
      <w:szCs w:val="20"/>
    </w:rPr>
  </w:style>
  <w:style w:type="character" w:customStyle="1" w:styleId="subsectionChar">
    <w:name w:val="subsection Char"/>
    <w:aliases w:val="ss Char"/>
    <w:link w:val="subsection"/>
    <w:rsid w:val="006E42A3"/>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0D1420"/>
    <w:pPr>
      <w:spacing w:before="40" w:after="0"/>
      <w:ind w:left="1134"/>
    </w:pPr>
    <w:rPr>
      <w:rFonts w:eastAsia="Times New Roman" w:cs="Times New Roman"/>
      <w:szCs w:val="20"/>
      <w:lang w:eastAsia="en-AU"/>
    </w:rPr>
  </w:style>
  <w:style w:type="paragraph" w:styleId="TOC4">
    <w:name w:val="toc 4"/>
    <w:basedOn w:val="Normal"/>
    <w:next w:val="Normal"/>
    <w:autoRedefine/>
    <w:uiPriority w:val="39"/>
    <w:semiHidden/>
    <w:unhideWhenUsed/>
    <w:rsid w:val="004C48B8"/>
    <w:pPr>
      <w:spacing w:after="100"/>
      <w:ind w:left="660"/>
    </w:pPr>
  </w:style>
  <w:style w:type="paragraph" w:styleId="TOC5">
    <w:name w:val="toc 5"/>
    <w:basedOn w:val="Normal"/>
    <w:next w:val="Normal"/>
    <w:autoRedefine/>
    <w:uiPriority w:val="39"/>
    <w:semiHidden/>
    <w:unhideWhenUsed/>
    <w:rsid w:val="004C48B8"/>
    <w:pPr>
      <w:spacing w:after="100"/>
      <w:ind w:left="880"/>
    </w:pPr>
  </w:style>
  <w:style w:type="paragraph" w:styleId="TOC6">
    <w:name w:val="toc 6"/>
    <w:basedOn w:val="Normal"/>
    <w:next w:val="Normal"/>
    <w:autoRedefine/>
    <w:uiPriority w:val="39"/>
    <w:semiHidden/>
    <w:unhideWhenUsed/>
    <w:rsid w:val="004C48B8"/>
    <w:pPr>
      <w:spacing w:after="100"/>
      <w:ind w:left="1100"/>
    </w:pPr>
  </w:style>
  <w:style w:type="paragraph" w:styleId="TOC7">
    <w:name w:val="toc 7"/>
    <w:basedOn w:val="Normal"/>
    <w:next w:val="Normal"/>
    <w:autoRedefine/>
    <w:uiPriority w:val="39"/>
    <w:semiHidden/>
    <w:unhideWhenUsed/>
    <w:rsid w:val="004C48B8"/>
    <w:pPr>
      <w:spacing w:after="100"/>
      <w:ind w:left="1320"/>
    </w:pPr>
  </w:style>
  <w:style w:type="paragraph" w:styleId="TOC8">
    <w:name w:val="toc 8"/>
    <w:basedOn w:val="Normal"/>
    <w:next w:val="Normal"/>
    <w:autoRedefine/>
    <w:uiPriority w:val="39"/>
    <w:semiHidden/>
    <w:unhideWhenUsed/>
    <w:rsid w:val="004C48B8"/>
    <w:pPr>
      <w:spacing w:after="100"/>
      <w:ind w:left="1540"/>
    </w:pPr>
  </w:style>
  <w:style w:type="paragraph" w:styleId="TOC9">
    <w:name w:val="toc 9"/>
    <w:basedOn w:val="Normal"/>
    <w:next w:val="Normal"/>
    <w:autoRedefine/>
    <w:uiPriority w:val="39"/>
    <w:semiHidden/>
    <w:unhideWhenUsed/>
    <w:rsid w:val="004C48B8"/>
    <w:pPr>
      <w:spacing w:after="100"/>
      <w:ind w:left="1760"/>
    </w:pPr>
  </w:style>
  <w:style w:type="numbering" w:customStyle="1" w:styleId="Chapternumbering1">
    <w:name w:val="Chapter numbering1"/>
    <w:uiPriority w:val="99"/>
    <w:rsid w:val="00546592"/>
  </w:style>
  <w:style w:type="paragraph" w:styleId="ListParagraph">
    <w:name w:val="List Paragraph"/>
    <w:basedOn w:val="Normal"/>
    <w:uiPriority w:val="34"/>
    <w:qFormat/>
    <w:rsid w:val="00C34EF4"/>
    <w:pPr>
      <w:ind w:left="720"/>
      <w:contextualSpacing/>
    </w:pPr>
  </w:style>
  <w:style w:type="paragraph" w:customStyle="1" w:styleId="pf0">
    <w:name w:val="pf0"/>
    <w:basedOn w:val="Normal"/>
    <w:rsid w:val="00B47260"/>
    <w:pPr>
      <w:spacing w:before="100" w:beforeAutospacing="1" w:after="100" w:afterAutospacing="1"/>
    </w:pPr>
    <w:rPr>
      <w:rFonts w:eastAsia="Times New Roman" w:cs="Times New Roman"/>
      <w:sz w:val="24"/>
      <w:szCs w:val="24"/>
      <w:lang w:eastAsia="en-AU"/>
    </w:rPr>
  </w:style>
  <w:style w:type="character" w:customStyle="1" w:styleId="cf01">
    <w:name w:val="cf01"/>
    <w:basedOn w:val="DefaultParagraphFont"/>
    <w:rsid w:val="00B47260"/>
    <w:rPr>
      <w:rFonts w:ascii="Segoe UI" w:hAnsi="Segoe UI" w:cs="Segoe UI" w:hint="default"/>
      <w:sz w:val="18"/>
      <w:szCs w:val="18"/>
    </w:rPr>
  </w:style>
  <w:style w:type="paragraph" w:styleId="NormalWeb">
    <w:name w:val="Normal (Web)"/>
    <w:basedOn w:val="Normal"/>
    <w:uiPriority w:val="99"/>
    <w:semiHidden/>
    <w:unhideWhenUsed/>
    <w:rsid w:val="003E0DA0"/>
    <w:pPr>
      <w:spacing w:before="100" w:beforeAutospacing="1" w:after="100" w:afterAutospacing="1"/>
    </w:pPr>
    <w:rPr>
      <w:rFonts w:eastAsia="Times New Roman" w:cs="Times New Roman"/>
      <w:sz w:val="24"/>
      <w:szCs w:val="24"/>
      <w:lang w:eastAsia="en-AU"/>
    </w:rPr>
  </w:style>
  <w:style w:type="paragraph" w:customStyle="1" w:styleId="OutlineNumbered1">
    <w:name w:val="Outline Numbered 1"/>
    <w:basedOn w:val="Normal"/>
    <w:link w:val="OutlineNumbered1Char"/>
    <w:rsid w:val="00082EE0"/>
    <w:pPr>
      <w:numPr>
        <w:numId w:val="32"/>
      </w:numPr>
      <w:ind w:right="862"/>
    </w:pPr>
    <w:rPr>
      <w:iCs/>
      <w:color w:val="000000" w:themeColor="text1"/>
      <w:sz w:val="21"/>
    </w:rPr>
  </w:style>
  <w:style w:type="character" w:customStyle="1" w:styleId="OutlineNumbered1Char">
    <w:name w:val="Outline Numbered 1 Char"/>
    <w:basedOn w:val="DefaultParagraphFont"/>
    <w:link w:val="OutlineNumbered1"/>
    <w:rsid w:val="00082EE0"/>
    <w:rPr>
      <w:rFonts w:ascii="Times New Roman" w:hAnsi="Times New Roman"/>
      <w:iCs/>
      <w:color w:val="000000" w:themeColor="text1"/>
      <w:sz w:val="21"/>
    </w:rPr>
  </w:style>
  <w:style w:type="paragraph" w:customStyle="1" w:styleId="OutlineNumbered2">
    <w:name w:val="Outline Numbered 2"/>
    <w:basedOn w:val="Normal"/>
    <w:link w:val="OutlineNumbered2Char"/>
    <w:rsid w:val="00082EE0"/>
    <w:pPr>
      <w:numPr>
        <w:ilvl w:val="1"/>
        <w:numId w:val="32"/>
      </w:numPr>
      <w:ind w:right="862"/>
    </w:pPr>
    <w:rPr>
      <w:iCs/>
      <w:color w:val="000000" w:themeColor="text1"/>
      <w:sz w:val="21"/>
    </w:rPr>
  </w:style>
  <w:style w:type="character" w:customStyle="1" w:styleId="OutlineNumbered2Char">
    <w:name w:val="Outline Numbered 2 Char"/>
    <w:basedOn w:val="DefaultParagraphFont"/>
    <w:link w:val="OutlineNumbered2"/>
    <w:rsid w:val="00082EE0"/>
    <w:rPr>
      <w:rFonts w:ascii="Times New Roman" w:hAnsi="Times New Roman"/>
      <w:iCs/>
      <w:color w:val="000000" w:themeColor="text1"/>
      <w:sz w:val="21"/>
    </w:rPr>
  </w:style>
  <w:style w:type="paragraph" w:customStyle="1" w:styleId="OutlineNumbered3">
    <w:name w:val="Outline Numbered 3"/>
    <w:basedOn w:val="Normal"/>
    <w:link w:val="OutlineNumbered3Char"/>
    <w:rsid w:val="00082EE0"/>
    <w:pPr>
      <w:numPr>
        <w:ilvl w:val="2"/>
        <w:numId w:val="32"/>
      </w:numPr>
      <w:ind w:right="862"/>
    </w:pPr>
    <w:rPr>
      <w:iCs/>
      <w:color w:val="000000" w:themeColor="text1"/>
      <w:sz w:val="21"/>
    </w:rPr>
  </w:style>
  <w:style w:type="character" w:customStyle="1" w:styleId="OutlineNumbered3Char">
    <w:name w:val="Outline Numbered 3 Char"/>
    <w:basedOn w:val="DefaultParagraphFont"/>
    <w:link w:val="OutlineNumbered3"/>
    <w:rsid w:val="00082EE0"/>
    <w:rPr>
      <w:rFonts w:ascii="Times New Roman" w:hAnsi="Times New Roman"/>
      <w:iCs/>
      <w:color w:val="000000" w:themeColor="text1"/>
      <w:sz w:val="21"/>
    </w:rPr>
  </w:style>
  <w:style w:type="numbering" w:customStyle="1" w:styleId="Chapternumbering2">
    <w:name w:val="Chapter numbering2"/>
    <w:uiPriority w:val="99"/>
    <w:rsid w:val="009C1D73"/>
  </w:style>
  <w:style w:type="paragraph" w:customStyle="1" w:styleId="ShortT">
    <w:name w:val="ShortT"/>
    <w:basedOn w:val="Normal"/>
    <w:next w:val="Normal"/>
    <w:qFormat/>
    <w:rsid w:val="003570C7"/>
    <w:pPr>
      <w:spacing w:before="0" w:after="0"/>
    </w:pPr>
    <w:rPr>
      <w:rFonts w:eastAsia="Times New Roman" w:cs="Times New Roman"/>
      <w:b/>
      <w:sz w:val="40"/>
      <w:szCs w:val="20"/>
      <w:lang w:eastAsia="en-AU"/>
    </w:rPr>
  </w:style>
  <w:style w:type="character" w:customStyle="1" w:styleId="Heading7Char">
    <w:name w:val="Heading 7 Char"/>
    <w:basedOn w:val="DefaultParagraphFont"/>
    <w:link w:val="Heading7"/>
    <w:uiPriority w:val="9"/>
    <w:rsid w:val="00DA48B8"/>
    <w:rPr>
      <w:rFonts w:asciiTheme="majorHAnsi" w:eastAsiaTheme="majorEastAsia" w:hAnsiTheme="majorHAnsi" w:cstheme="majorBidi"/>
      <w:i/>
      <w:iCs/>
      <w:color w:val="1F3763" w:themeColor="accent1" w:themeShade="7F"/>
    </w:rPr>
  </w:style>
  <w:style w:type="character" w:customStyle="1" w:styleId="DoubleDotChar">
    <w:name w:val="Double Dot Char"/>
    <w:basedOn w:val="InstructionalguidancedotpointChar"/>
    <w:link w:val="DoubleDot"/>
    <w:rsid w:val="00DA48B8"/>
    <w:rPr>
      <w:rFonts w:ascii="Times New Roman" w:eastAsia="Calibri" w:hAnsi="Times New Roman"/>
      <w:color w:val="2F5496" w:themeColor="accent1" w:themeShade="BF"/>
      <w:lang w:eastAsia="en-GB"/>
    </w:rPr>
  </w:style>
  <w:style w:type="table" w:customStyle="1" w:styleId="Tableindent1">
    <w:name w:val="Table indent 1"/>
    <w:basedOn w:val="TableNormal"/>
    <w:rsid w:val="00DA48B8"/>
    <w:pPr>
      <w:spacing w:after="0" w:line="240" w:lineRule="auto"/>
    </w:pPr>
    <w:rPr>
      <w:rFonts w:ascii="Times New Roman" w:eastAsia="Times New Roman" w:hAnsi="Times New Roman" w:cs="Times New Roman"/>
      <w:sz w:val="20"/>
      <w:szCs w:val="20"/>
      <w:lang w:eastAsia="zh-TW"/>
    </w:rPr>
    <w:tblP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indent12">
    <w:name w:val="Table indent 12"/>
    <w:basedOn w:val="TableNormal"/>
    <w:rsid w:val="00DA48B8"/>
    <w:pPr>
      <w:spacing w:after="0" w:line="240" w:lineRule="auto"/>
    </w:pPr>
    <w:rPr>
      <w:rFonts w:ascii="Times New Roman" w:eastAsia="Times New Roman"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dotpoint10">
    <w:name w:val="example dot point 1"/>
    <w:basedOn w:val="Normal"/>
    <w:rsid w:val="009C1D73"/>
    <w:pPr>
      <w:numPr>
        <w:numId w:val="36"/>
      </w:numPr>
    </w:pPr>
    <w:rPr>
      <w:rFonts w:eastAsia="Times New Roman" w:cs="Times New Roman"/>
      <w:sz w:val="20"/>
      <w:szCs w:val="20"/>
      <w:lang w:eastAsia="en-AU"/>
    </w:rPr>
  </w:style>
  <w:style w:type="paragraph" w:customStyle="1" w:styleId="exampledotpoint20">
    <w:name w:val="example dot point 2"/>
    <w:basedOn w:val="Normal"/>
    <w:rsid w:val="00DA48B8"/>
    <w:pPr>
      <w:numPr>
        <w:ilvl w:val="1"/>
        <w:numId w:val="36"/>
      </w:numPr>
    </w:pPr>
    <w:rPr>
      <w:rFonts w:eastAsia="Times New Roman" w:cs="Times New Roman"/>
      <w:sz w:val="20"/>
      <w:szCs w:val="20"/>
      <w:lang w:eastAsia="en-AU"/>
    </w:rPr>
  </w:style>
  <w:style w:type="paragraph" w:customStyle="1" w:styleId="FooterAddress">
    <w:name w:val="FooterAddress"/>
    <w:basedOn w:val="Normal"/>
    <w:next w:val="Normal"/>
    <w:rsid w:val="00DA48B8"/>
    <w:pPr>
      <w:tabs>
        <w:tab w:val="center" w:pos="4820"/>
      </w:tabs>
      <w:spacing w:before="0" w:after="0"/>
      <w:jc w:val="center"/>
    </w:pPr>
    <w:rPr>
      <w:rFonts w:ascii="Arial" w:eastAsia="Times New Roman" w:hAnsi="Arial" w:cs="Times New Roman"/>
      <w:sz w:val="15"/>
      <w:szCs w:val="20"/>
      <w:lang w:eastAsia="en-AU"/>
    </w:rPr>
  </w:style>
  <w:style w:type="character" w:customStyle="1" w:styleId="DashChar">
    <w:name w:val="Dash Char"/>
    <w:basedOn w:val="DefaultParagraphFont"/>
    <w:link w:val="Dash"/>
    <w:rsid w:val="00DA48B8"/>
    <w:rPr>
      <w:rFonts w:ascii="Times New Roman" w:hAnsi="Times New Roman"/>
    </w:rPr>
  </w:style>
  <w:style w:type="paragraph" w:customStyle="1" w:styleId="Bulletpoint1">
    <w:name w:val="Bullet point 1"/>
    <w:basedOn w:val="Normal"/>
    <w:next w:val="Bullet"/>
    <w:link w:val="Bulletpoint1Char"/>
    <w:qFormat/>
    <w:rsid w:val="009C1D73"/>
    <w:pPr>
      <w:numPr>
        <w:numId w:val="37"/>
      </w:numPr>
      <w:spacing w:before="0" w:after="160"/>
    </w:pPr>
    <w:rPr>
      <w:rFonts w:eastAsia="Calibri"/>
      <w:color w:val="2F5496" w:themeColor="accent1" w:themeShade="BF"/>
      <w:lang w:eastAsia="en-GB"/>
    </w:rPr>
  </w:style>
  <w:style w:type="character" w:customStyle="1" w:styleId="Bulletpoint1Char">
    <w:name w:val="Bullet point 1 Char"/>
    <w:basedOn w:val="BulletChar"/>
    <w:link w:val="Bulletpoint1"/>
    <w:rsid w:val="00DA48B8"/>
    <w:rPr>
      <w:rFonts w:ascii="Times New Roman" w:eastAsia="Calibri" w:hAnsi="Times New Roman"/>
      <w:color w:val="2F5496" w:themeColor="accent1" w:themeShade="BF"/>
      <w:lang w:eastAsia="en-GB"/>
    </w:rPr>
  </w:style>
  <w:style w:type="numbering" w:customStyle="1" w:styleId="OPCBodyList">
    <w:name w:val="OPCBodyList"/>
    <w:uiPriority w:val="99"/>
    <w:rsid w:val="009C1D73"/>
    <w:pPr>
      <w:numPr>
        <w:numId w:val="38"/>
      </w:numPr>
    </w:pPr>
  </w:style>
  <w:style w:type="paragraph" w:customStyle="1" w:styleId="BodyPara">
    <w:name w:val="BodyPara"/>
    <w:aliases w:val="ba"/>
    <w:basedOn w:val="Normal"/>
    <w:rsid w:val="00DA48B8"/>
    <w:pPr>
      <w:tabs>
        <w:tab w:val="num" w:pos="1440"/>
      </w:tabs>
      <w:spacing w:before="240" w:after="0"/>
      <w:ind w:left="1440" w:hanging="720"/>
    </w:pPr>
    <w:rPr>
      <w:rFonts w:eastAsia="Times New Roman" w:cs="Times New Roman"/>
      <w:sz w:val="24"/>
      <w:szCs w:val="20"/>
      <w:lang w:eastAsia="en-AU"/>
    </w:rPr>
  </w:style>
  <w:style w:type="paragraph" w:customStyle="1" w:styleId="BodyParaBullet">
    <w:name w:val="BodyParaBullet"/>
    <w:aliases w:val="bpb"/>
    <w:basedOn w:val="Normal"/>
    <w:rsid w:val="00DA48B8"/>
    <w:pPr>
      <w:tabs>
        <w:tab w:val="num" w:pos="1440"/>
        <w:tab w:val="left" w:pos="2160"/>
      </w:tabs>
      <w:spacing w:before="240" w:after="0"/>
      <w:ind w:left="1440" w:hanging="720"/>
    </w:pPr>
    <w:rPr>
      <w:rFonts w:eastAsia="Times New Roman" w:cs="Times New Roman"/>
      <w:sz w:val="24"/>
      <w:szCs w:val="20"/>
      <w:lang w:eastAsia="en-AU"/>
    </w:rPr>
  </w:style>
  <w:style w:type="paragraph" w:customStyle="1" w:styleId="BodySubPara">
    <w:name w:val="BodySubPara"/>
    <w:aliases w:val="bi"/>
    <w:basedOn w:val="Normal"/>
    <w:rsid w:val="00DA48B8"/>
    <w:pPr>
      <w:tabs>
        <w:tab w:val="num" w:pos="2160"/>
      </w:tabs>
      <w:spacing w:before="240" w:after="0"/>
      <w:ind w:left="2160" w:hanging="720"/>
    </w:pPr>
    <w:rPr>
      <w:rFonts w:eastAsia="Times New Roman" w:cs="Times New Roman"/>
      <w:sz w:val="24"/>
      <w:szCs w:val="20"/>
      <w:lang w:eastAsia="en-AU"/>
    </w:rPr>
  </w:style>
  <w:style w:type="character" w:styleId="Strong">
    <w:name w:val="Strong"/>
    <w:basedOn w:val="DefaultParagraphFont"/>
    <w:uiPriority w:val="22"/>
    <w:qFormat/>
    <w:rsid w:val="00DA48B8"/>
    <w:rPr>
      <w:b/>
      <w:bCs/>
    </w:rPr>
  </w:style>
  <w:style w:type="paragraph" w:styleId="z-TopofForm">
    <w:name w:val="HTML Top of Form"/>
    <w:basedOn w:val="Normal"/>
    <w:next w:val="Normal"/>
    <w:link w:val="z-TopofFormChar"/>
    <w:hidden/>
    <w:uiPriority w:val="99"/>
    <w:semiHidden/>
    <w:unhideWhenUsed/>
    <w:rsid w:val="00DA48B8"/>
    <w:pPr>
      <w:pBdr>
        <w:bottom w:val="single" w:sz="6" w:space="1" w:color="auto"/>
      </w:pBdr>
      <w:spacing w:before="0"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A48B8"/>
    <w:rPr>
      <w:rFonts w:ascii="Arial" w:eastAsia="Times New Roman" w:hAnsi="Arial" w:cs="Arial"/>
      <w:vanish/>
      <w:sz w:val="16"/>
      <w:szCs w:val="16"/>
      <w:lang w:eastAsia="en-AU"/>
    </w:rPr>
  </w:style>
  <w:style w:type="paragraph" w:customStyle="1" w:styleId="Default">
    <w:name w:val="Default"/>
    <w:rsid w:val="00DA48B8"/>
    <w:pPr>
      <w:autoSpaceDE w:val="0"/>
      <w:autoSpaceDN w:val="0"/>
      <w:adjustRightInd w:val="0"/>
      <w:spacing w:after="0" w:line="240" w:lineRule="auto"/>
    </w:pPr>
    <w:rPr>
      <w:rFonts w:ascii="Verdana" w:hAnsi="Verdana" w:cs="Verdana"/>
      <w:color w:val="000000"/>
      <w:sz w:val="24"/>
      <w:szCs w:val="24"/>
    </w:rPr>
  </w:style>
  <w:style w:type="paragraph" w:customStyle="1" w:styleId="ActHead2">
    <w:name w:val="ActHead 2"/>
    <w:aliases w:val="p"/>
    <w:basedOn w:val="Normal"/>
    <w:next w:val="Normal"/>
    <w:qFormat/>
    <w:rsid w:val="00DA48B8"/>
    <w:pPr>
      <w:keepNext/>
      <w:keepLines/>
      <w:spacing w:before="280" w:after="0"/>
      <w:ind w:left="1134" w:hanging="1134"/>
      <w:outlineLvl w:val="1"/>
    </w:pPr>
    <w:rPr>
      <w:rFonts w:eastAsia="Times New Roman" w:cs="Times New Roman"/>
      <w:b/>
      <w:kern w:val="28"/>
      <w:sz w:val="32"/>
      <w:szCs w:val="20"/>
      <w:lang w:eastAsia="en-AU"/>
    </w:rPr>
  </w:style>
  <w:style w:type="character" w:customStyle="1" w:styleId="CharPartNo">
    <w:name w:val="CharPartNo"/>
    <w:basedOn w:val="DefaultParagraphFont"/>
    <w:uiPriority w:val="1"/>
    <w:qFormat/>
    <w:rsid w:val="00DA48B8"/>
  </w:style>
  <w:style w:type="character" w:customStyle="1" w:styleId="CharSectno">
    <w:name w:val="CharSectno"/>
    <w:basedOn w:val="DefaultParagraphFont"/>
    <w:qFormat/>
    <w:rsid w:val="00DA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2215">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14744855">
      <w:bodyDiv w:val="1"/>
      <w:marLeft w:val="0"/>
      <w:marRight w:val="0"/>
      <w:marTop w:val="0"/>
      <w:marBottom w:val="0"/>
      <w:divBdr>
        <w:top w:val="none" w:sz="0" w:space="0" w:color="auto"/>
        <w:left w:val="none" w:sz="0" w:space="0" w:color="auto"/>
        <w:bottom w:val="none" w:sz="0" w:space="0" w:color="auto"/>
        <w:right w:val="none" w:sz="0" w:space="0" w:color="auto"/>
      </w:divBdr>
    </w:div>
    <w:div w:id="1679310178">
      <w:bodyDiv w:val="1"/>
      <w:marLeft w:val="0"/>
      <w:marRight w:val="0"/>
      <w:marTop w:val="0"/>
      <w:marBottom w:val="0"/>
      <w:divBdr>
        <w:top w:val="none" w:sz="0" w:space="0" w:color="auto"/>
        <w:left w:val="none" w:sz="0" w:space="0" w:color="auto"/>
        <w:bottom w:val="none" w:sz="0" w:space="0" w:color="auto"/>
        <w:right w:val="none" w:sz="0" w:space="0" w:color="auto"/>
      </w:divBdr>
    </w:div>
    <w:div w:id="1733039643">
      <w:bodyDiv w:val="1"/>
      <w:marLeft w:val="0"/>
      <w:marRight w:val="0"/>
      <w:marTop w:val="0"/>
      <w:marBottom w:val="0"/>
      <w:divBdr>
        <w:top w:val="none" w:sz="0" w:space="0" w:color="auto"/>
        <w:left w:val="none" w:sz="0" w:space="0" w:color="auto"/>
        <w:bottom w:val="none" w:sz="0" w:space="0" w:color="auto"/>
        <w:right w:val="none" w:sz="0" w:space="0" w:color="auto"/>
      </w:divBdr>
    </w:div>
    <w:div w:id="1917395492">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19468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1.png"/><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footer" Target="footer9.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5D7SUYYWNZQE-304961098-1630</_dlc_DocId>
    <_dlc_DocIdUrl xmlns="fe39d773-a83d-4623-ae74-f25711a76616">
      <Url>https://austreasury.sharepoint.com/sites/leg-meas-function/_layouts/15/DocIdRedir.aspx?ID=5D7SUYYWNZQE-304961098-1630</Url>
      <Description>5D7SUYYWNZQE-304961098-1630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International Tax</TermName>
          <TermId xmlns="http://schemas.microsoft.com/office/infopath/2007/PartnerControls">b05bf1ba-bcc0-4933-8357-98e437f07462</TermId>
        </TermInfo>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s>
    </gfba5f33532c49208d2320ce38cc3c2b>
    <TaxCatchAll xmlns="ff38c824-6e29-4496-8487-69f397e7ed29">
      <Value>159</Value>
      <Value>28</Value>
      <Value>75</Value>
      <Value>74</Value>
      <Value>3</Value>
      <Value>1</Value>
      <Value>153</Value>
    </TaxCatchAll>
    <DocumentSetDescription xmlns="http://schemas.microsoft.com/sharepoint/v3" xsi:nil="true"/>
    <Measureorigin xmlns="a289cb20-8bb9-401f-8d7b-706fb1a2988d" xsi:nil="true"/>
    <PT_x002f_Measure_x0020_No. xmlns="ff38c824-6e29-4496-8487-69f397e7ed29">TSY/46/914; TSY/46/917</PT_x002f_Measure_x0020_No.>
    <Keydoc xmlns="a289cb20-8bb9-401f-8d7b-706fb1a2988d" xsi:nil="true"/>
    <Act_x0028_s_x0029_beingamended xmlns="a289cb20-8bb9-401f-8d7b-706fb1a2988d" xsi:nil="true"/>
    <Projectname xmlns="a289cb20-8bb9-401f-8d7b-706fb1a2988d">OECD Digital Tax </Projectname>
    <SharedWithUsers xmlns="ff38c824-6e29-4496-8487-69f397e7ed29">
      <UserInfo>
        <DisplayName>Potts, William</DisplayName>
        <AccountId>738</AccountId>
        <AccountType/>
      </UserInfo>
      <UserInfo>
        <DisplayName>Addison, Henry</DisplayName>
        <AccountId>985</AccountId>
        <AccountType/>
      </UserInfo>
      <UserInfo>
        <DisplayName>Brown, Mackenzie</DisplayName>
        <AccountId>978</AccountId>
        <AccountType/>
      </UserInfo>
      <UserInfo>
        <DisplayName>McKay, Brian</DisplayName>
        <AccountId>91</AccountId>
        <AccountType/>
      </UserInfo>
      <UserInfo>
        <DisplayName>Yan, Lilian</DisplayName>
        <AccountId>983</AccountId>
        <AccountType/>
      </UserInfo>
      <UserInfo>
        <DisplayName>Batchelor, Diana</DisplayName>
        <AccountId>1441</AccountId>
        <AccountType/>
      </UserInfo>
      <UserInfo>
        <DisplayName>Bell, Maddison</DisplayName>
        <AccountId>100</AccountId>
        <AccountType/>
      </UserInfo>
      <UserInfo>
        <DisplayName>Chan, Jodic</DisplayName>
        <AccountId>1407</AccountId>
        <AccountType/>
      </UserInfo>
      <UserInfo>
        <DisplayName>Harry, Ron</DisplayName>
        <AccountId>33</AccountId>
        <AccountType/>
      </UserInfo>
      <UserInfo>
        <DisplayName>Lee, Monica</DisplayName>
        <AccountId>59</AccountId>
        <AccountType/>
      </UserInfo>
      <UserInfo>
        <DisplayName>Mitchell, Michael</DisplayName>
        <AccountId>448</AccountId>
        <AccountType/>
      </UserInfo>
      <UserInfo>
        <DisplayName>Koit, Tania</DisplayName>
        <AccountId>170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4" ma:contentTypeDescription="Create a new document." ma:contentTypeScope="" ma:versionID="54d0063c26b59d42912c69a66ea38ca0">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cd7b4617-989f-4312-806f-17d7205174dc" targetNamespace="http://schemas.microsoft.com/office/2006/metadata/properties" ma:root="true" ma:fieldsID="4aada2fe9ea130ed5f6c89d0c172d631" ns1:_="" ns2:_="" ns3:_="" ns4:_="" ns5:_="">
    <xsd:import namespace="http://schemas.microsoft.com/sharepoint/v3"/>
    <xsd:import namespace="ff38c824-6e29-4496-8487-69f397e7ed29"/>
    <xsd:import namespace="fe39d773-a83d-4623-ae74-f25711a76616"/>
    <xsd:import namespace="a289cb20-8bb9-401f-8d7b-706fb1a2988d"/>
    <xsd:import namespace="cd7b4617-989f-4312-806f-17d7205174dc"/>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4617-989f-4312-806f-17d7205174dc"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3.xml><?xml version="1.0" encoding="utf-8"?>
<ds:datastoreItem xmlns:ds="http://schemas.openxmlformats.org/officeDocument/2006/customXml" ds:itemID="{6AB365E2-A817-49FA-9295-CAB62986032D}">
  <ds:schemaRefs>
    <ds:schemaRef ds:uri="http://schemas.microsoft.com/office/2006/documentManagement/types"/>
    <ds:schemaRef ds:uri="http://schemas.microsoft.com/sharepoint/v3"/>
    <ds:schemaRef ds:uri="fe39d773-a83d-4623-ae74-f25711a76616"/>
    <ds:schemaRef ds:uri="http://purl.org/dc/dcmitype/"/>
    <ds:schemaRef ds:uri="http://www.w3.org/XML/1998/namespace"/>
    <ds:schemaRef ds:uri="ff38c824-6e29-4496-8487-69f397e7ed29"/>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d7b4617-989f-4312-806f-17d7205174dc"/>
    <ds:schemaRef ds:uri="a289cb20-8bb9-401f-8d7b-706fb1a2988d"/>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A8812AF8-6EDF-45ED-B604-93D2E8D6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cd7b4617-989f-4312-806f-17d72051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6</TotalTime>
  <Pages>43</Pages>
  <Words>12454</Words>
  <Characters>64219</Characters>
  <Application>Microsoft Office Word</Application>
  <DocSecurity>0</DocSecurity>
  <Lines>1355</Lines>
  <Paragraphs>415</Paragraphs>
  <ScaleCrop>false</ScaleCrop>
  <HeadingPairs>
    <vt:vector size="2" baseType="variant">
      <vt:variant>
        <vt:lpstr>Title</vt:lpstr>
      </vt:variant>
      <vt:variant>
        <vt:i4>1</vt:i4>
      </vt:variant>
    </vt:vector>
  </HeadingPairs>
  <TitlesOfParts>
    <vt:vector size="1" baseType="lpstr">
      <vt:lpstr>Exposure draft explanatory materials</vt:lpstr>
    </vt:vector>
  </TitlesOfParts>
  <Company/>
  <LinksUpToDate>false</LinksUpToDate>
  <CharactersWithSpaces>76539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dc:title>
  <dc:subject>Taxation (Multinational—Global And Domestic Minimum Tax) Imposition Bill 2024, Taxation (Multinational—Global And Domestic Minimum Tax) Bill 2024, Taxation (Multinational—Global And Domestic Minimum Tax) Consequential Bill 2024</dc:subject>
  <dc:creator>Treasury</dc:creator>
  <cp:keywords/>
  <dc:description/>
  <cp:lastModifiedBy>Hill, Christine</cp:lastModifiedBy>
  <cp:revision>5</cp:revision>
  <cp:lastPrinted>2024-03-21T00:42:00Z</cp:lastPrinted>
  <dcterms:created xsi:type="dcterms:W3CDTF">2024-03-21T00:25:00Z</dcterms:created>
  <dcterms:modified xsi:type="dcterms:W3CDTF">2024-03-21T01:11:00Z</dcterms:modified>
  <cp:category/>
  <cp:contentStatus/>
</cp:coreProperties>
</file>